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553AA" w14:textId="172AEC89" w:rsidR="003711FC" w:rsidRPr="00D15C89" w:rsidRDefault="008276FC" w:rsidP="003711FC">
      <w:pPr>
        <w:pBdr>
          <w:top w:val="single" w:sz="4" w:space="1" w:color="auto"/>
          <w:left w:val="single" w:sz="4" w:space="4" w:color="auto"/>
          <w:bottom w:val="single" w:sz="4" w:space="1" w:color="auto"/>
          <w:right w:val="single" w:sz="4" w:space="4" w:color="auto"/>
        </w:pBdr>
        <w:jc w:val="center"/>
        <w:rPr>
          <w:b/>
          <w:bCs/>
          <w:sz w:val="22"/>
          <w:szCs w:val="22"/>
          <w:lang w:val="en-GB"/>
        </w:rPr>
      </w:pPr>
      <w:r w:rsidRPr="00D15C89">
        <w:rPr>
          <w:b/>
          <w:bCs/>
          <w:sz w:val="22"/>
          <w:szCs w:val="22"/>
        </w:rPr>
        <w:t>R</w:t>
      </w:r>
      <w:r w:rsidR="009F6983" w:rsidRPr="00D15C89">
        <w:rPr>
          <w:b/>
          <w:bCs/>
          <w:sz w:val="22"/>
          <w:szCs w:val="22"/>
        </w:rPr>
        <w:t>eport of</w:t>
      </w:r>
      <w:r w:rsidR="00B43D63" w:rsidRPr="00D15C89">
        <w:rPr>
          <w:b/>
          <w:bCs/>
          <w:sz w:val="22"/>
          <w:szCs w:val="22"/>
        </w:rPr>
        <w:t xml:space="preserve"> </w:t>
      </w:r>
      <w:r w:rsidR="009F6983" w:rsidRPr="00D15C89">
        <w:rPr>
          <w:b/>
          <w:bCs/>
          <w:sz w:val="22"/>
          <w:szCs w:val="22"/>
        </w:rPr>
        <w:t xml:space="preserve">the </w:t>
      </w:r>
      <w:r w:rsidR="00354F61" w:rsidRPr="00D15C89">
        <w:rPr>
          <w:b/>
          <w:bCs/>
          <w:sz w:val="22"/>
          <w:szCs w:val="22"/>
        </w:rPr>
        <w:t>Special Rapporteur on the promotion and protection of human rights and fundamental freedoms while countering terrorism</w:t>
      </w:r>
      <w:r w:rsidR="00FB726A">
        <w:rPr>
          <w:b/>
          <w:bCs/>
          <w:sz w:val="22"/>
          <w:szCs w:val="22"/>
        </w:rPr>
        <w:t>, Ben Saul</w:t>
      </w:r>
      <w:r w:rsidR="003711FC" w:rsidRPr="00D15C89">
        <w:rPr>
          <w:b/>
          <w:bCs/>
          <w:sz w:val="22"/>
          <w:szCs w:val="22"/>
        </w:rPr>
        <w:t xml:space="preserve"> </w:t>
      </w:r>
      <w:r w:rsidR="003711FC" w:rsidRPr="00D15C89">
        <w:rPr>
          <w:b/>
          <w:bCs/>
          <w:sz w:val="22"/>
          <w:szCs w:val="22"/>
          <w:lang w:val="en-GB"/>
        </w:rPr>
        <w:t>(A/HRC/61/52)</w:t>
      </w:r>
    </w:p>
    <w:p w14:paraId="48817FD0" w14:textId="53EAF712" w:rsidR="003711FC" w:rsidRPr="00D15C89" w:rsidRDefault="003711FC" w:rsidP="003711FC">
      <w:pPr>
        <w:pBdr>
          <w:top w:val="single" w:sz="4" w:space="1" w:color="auto"/>
          <w:left w:val="single" w:sz="4" w:space="4" w:color="auto"/>
          <w:bottom w:val="single" w:sz="4" w:space="1" w:color="auto"/>
          <w:right w:val="single" w:sz="4" w:space="4" w:color="auto"/>
        </w:pBdr>
        <w:jc w:val="center"/>
        <w:rPr>
          <w:b/>
          <w:bCs/>
          <w:sz w:val="22"/>
          <w:szCs w:val="22"/>
          <w:lang w:val="en-GB"/>
        </w:rPr>
      </w:pPr>
      <w:r w:rsidRPr="00D15C89">
        <w:rPr>
          <w:b/>
          <w:bCs/>
          <w:sz w:val="22"/>
          <w:szCs w:val="22"/>
          <w:lang w:val="en-GB"/>
        </w:rPr>
        <w:t>Defining terrorism to respect and protect human rights</w:t>
      </w:r>
    </w:p>
    <w:p w14:paraId="0F4FF125" w14:textId="32E24902" w:rsidR="004D3A38" w:rsidRPr="004D3A38" w:rsidRDefault="004D3A38" w:rsidP="003711FC">
      <w:pPr>
        <w:tabs>
          <w:tab w:val="left" w:pos="5120"/>
        </w:tabs>
        <w:rPr>
          <w:sz w:val="23"/>
          <w:szCs w:val="23"/>
          <w:lang w:val="en-GB"/>
        </w:rPr>
      </w:pPr>
    </w:p>
    <w:p w14:paraId="5BE59250" w14:textId="1464CD0F" w:rsidR="00364BB6" w:rsidRPr="00967450" w:rsidRDefault="00F92F3A" w:rsidP="00967450">
      <w:pPr>
        <w:spacing w:before="80" w:after="80"/>
        <w:ind w:firstLine="720"/>
        <w:jc w:val="both"/>
        <w:rPr>
          <w:sz w:val="22"/>
          <w:szCs w:val="22"/>
        </w:rPr>
      </w:pPr>
      <w:r w:rsidRPr="00967450">
        <w:rPr>
          <w:sz w:val="22"/>
          <w:szCs w:val="22"/>
        </w:rPr>
        <w:t xml:space="preserve">The </w:t>
      </w:r>
      <w:r w:rsidR="00C9695D" w:rsidRPr="00967450">
        <w:rPr>
          <w:sz w:val="22"/>
          <w:szCs w:val="22"/>
        </w:rPr>
        <w:t>Special Rapporteur</w:t>
      </w:r>
      <w:r w:rsidR="007037EE">
        <w:rPr>
          <w:sz w:val="22"/>
          <w:szCs w:val="22"/>
        </w:rPr>
        <w:t>,</w:t>
      </w:r>
      <w:r w:rsidRPr="00967450">
        <w:rPr>
          <w:sz w:val="22"/>
          <w:szCs w:val="22"/>
        </w:rPr>
        <w:t xml:space="preserve"> in his report</w:t>
      </w:r>
      <w:r w:rsidR="007037EE">
        <w:rPr>
          <w:sz w:val="22"/>
          <w:szCs w:val="22"/>
        </w:rPr>
        <w:t>,</w:t>
      </w:r>
      <w:r w:rsidR="00FB726A" w:rsidRPr="00967450">
        <w:rPr>
          <w:sz w:val="22"/>
          <w:szCs w:val="22"/>
        </w:rPr>
        <w:t xml:space="preserve"> </w:t>
      </w:r>
      <w:r w:rsidR="00B76333" w:rsidRPr="00967450">
        <w:rPr>
          <w:sz w:val="22"/>
          <w:szCs w:val="22"/>
        </w:rPr>
        <w:t>urges the international community to define terrorism to more effectively protect human rights from terrorist violence</w:t>
      </w:r>
      <w:r w:rsidR="00474672" w:rsidRPr="00967450">
        <w:rPr>
          <w:sz w:val="22"/>
          <w:szCs w:val="22"/>
        </w:rPr>
        <w:t xml:space="preserve"> and </w:t>
      </w:r>
      <w:r w:rsidR="00B76333" w:rsidRPr="00967450">
        <w:rPr>
          <w:sz w:val="22"/>
          <w:szCs w:val="22"/>
        </w:rPr>
        <w:t>to ensure</w:t>
      </w:r>
      <w:r w:rsidRPr="00967450">
        <w:rPr>
          <w:sz w:val="22"/>
          <w:szCs w:val="22"/>
        </w:rPr>
        <w:t xml:space="preserve"> that</w:t>
      </w:r>
      <w:r w:rsidR="00B76333" w:rsidRPr="00967450">
        <w:rPr>
          <w:sz w:val="22"/>
          <w:szCs w:val="22"/>
        </w:rPr>
        <w:t xml:space="preserve"> State </w:t>
      </w:r>
      <w:proofErr w:type="spellStart"/>
      <w:r w:rsidR="00B76333" w:rsidRPr="00967450">
        <w:rPr>
          <w:sz w:val="22"/>
          <w:szCs w:val="22"/>
        </w:rPr>
        <w:t>counter-terrorism</w:t>
      </w:r>
      <w:proofErr w:type="spellEnd"/>
      <w:r w:rsidR="00B76333" w:rsidRPr="00967450">
        <w:rPr>
          <w:sz w:val="22"/>
          <w:szCs w:val="22"/>
        </w:rPr>
        <w:t xml:space="preserve"> measures </w:t>
      </w:r>
      <w:r w:rsidR="00394860" w:rsidRPr="00967450">
        <w:rPr>
          <w:sz w:val="22"/>
          <w:szCs w:val="22"/>
        </w:rPr>
        <w:t xml:space="preserve">fully </w:t>
      </w:r>
      <w:r w:rsidR="00B76333" w:rsidRPr="00967450">
        <w:rPr>
          <w:sz w:val="22"/>
          <w:szCs w:val="22"/>
        </w:rPr>
        <w:t>respect human rights</w:t>
      </w:r>
      <w:r w:rsidR="00BE5ABF" w:rsidRPr="00B50E28">
        <w:rPr>
          <w:sz w:val="22"/>
          <w:szCs w:val="22"/>
        </w:rPr>
        <w:t xml:space="preserve"> and are effective and legitimate</w:t>
      </w:r>
      <w:r w:rsidR="00B76333" w:rsidRPr="00967450">
        <w:rPr>
          <w:sz w:val="22"/>
          <w:szCs w:val="22"/>
        </w:rPr>
        <w:t xml:space="preserve">. </w:t>
      </w:r>
      <w:r w:rsidR="00364BB6" w:rsidRPr="00967450">
        <w:rPr>
          <w:sz w:val="22"/>
          <w:szCs w:val="22"/>
        </w:rPr>
        <w:t xml:space="preserve">Vague and overbroad definitions of terrorism </w:t>
      </w:r>
      <w:r w:rsidR="004B0A2D" w:rsidRPr="00967450">
        <w:rPr>
          <w:sz w:val="22"/>
          <w:szCs w:val="22"/>
        </w:rPr>
        <w:t>have led to countless violations of international human rights law</w:t>
      </w:r>
      <w:r w:rsidR="00FE1010" w:rsidRPr="00967450">
        <w:rPr>
          <w:sz w:val="22"/>
          <w:szCs w:val="22"/>
        </w:rPr>
        <w:t xml:space="preserve"> and have counterproductively fueled </w:t>
      </w:r>
      <w:r w:rsidR="00807198" w:rsidRPr="00967450">
        <w:rPr>
          <w:sz w:val="22"/>
          <w:szCs w:val="22"/>
        </w:rPr>
        <w:t>grievances and reduced cooperation with law enforcement</w:t>
      </w:r>
      <w:r w:rsidR="004B0A2D" w:rsidRPr="00967450">
        <w:rPr>
          <w:sz w:val="22"/>
          <w:szCs w:val="22"/>
        </w:rPr>
        <w:t>.</w:t>
      </w:r>
      <w:r w:rsidR="004B0A2D" w:rsidRPr="00967450">
        <w:rPr>
          <w:rFonts w:ascii="Arial" w:hAnsi="Arial" w:cs="Arial"/>
          <w:sz w:val="22"/>
          <w:szCs w:val="22"/>
        </w:rPr>
        <w:t xml:space="preserve">  </w:t>
      </w:r>
    </w:p>
    <w:p w14:paraId="699CC184" w14:textId="11C0AE47" w:rsidR="00B76333" w:rsidRPr="00967450" w:rsidRDefault="00F92F3A" w:rsidP="00967450">
      <w:pPr>
        <w:spacing w:before="80" w:after="80"/>
        <w:ind w:firstLine="720"/>
        <w:jc w:val="both"/>
        <w:rPr>
          <w:sz w:val="22"/>
          <w:szCs w:val="22"/>
        </w:rPr>
      </w:pPr>
      <w:r w:rsidRPr="00967450">
        <w:rPr>
          <w:sz w:val="22"/>
          <w:szCs w:val="22"/>
        </w:rPr>
        <w:t xml:space="preserve">The report </w:t>
      </w:r>
      <w:r w:rsidR="0073655B" w:rsidRPr="00967450">
        <w:rPr>
          <w:sz w:val="22"/>
          <w:szCs w:val="22"/>
        </w:rPr>
        <w:t xml:space="preserve">provides an international </w:t>
      </w:r>
      <w:r w:rsidR="00BE12E6" w:rsidRPr="00967450">
        <w:rPr>
          <w:sz w:val="22"/>
          <w:szCs w:val="22"/>
        </w:rPr>
        <w:t>“</w:t>
      </w:r>
      <w:r w:rsidR="0073655B" w:rsidRPr="00967450">
        <w:rPr>
          <w:sz w:val="22"/>
          <w:szCs w:val="22"/>
        </w:rPr>
        <w:t>best practice</w:t>
      </w:r>
      <w:r w:rsidR="00BE12E6" w:rsidRPr="00967450">
        <w:rPr>
          <w:sz w:val="22"/>
          <w:szCs w:val="22"/>
        </w:rPr>
        <w:t>”</w:t>
      </w:r>
      <w:r w:rsidR="0073655B" w:rsidRPr="00967450">
        <w:rPr>
          <w:sz w:val="22"/>
          <w:szCs w:val="22"/>
        </w:rPr>
        <w:t xml:space="preserve"> model definition that revises and updates the mandate’s 2010 model definition</w:t>
      </w:r>
      <w:r w:rsidR="00BE12E6" w:rsidRPr="00967450">
        <w:rPr>
          <w:sz w:val="22"/>
          <w:szCs w:val="22"/>
        </w:rPr>
        <w:t xml:space="preserve"> and </w:t>
      </w:r>
      <w:r w:rsidR="006945CC" w:rsidRPr="00967450">
        <w:rPr>
          <w:sz w:val="22"/>
          <w:szCs w:val="22"/>
        </w:rPr>
        <w:t>broadly</w:t>
      </w:r>
      <w:r w:rsidR="00700075" w:rsidRPr="00967450">
        <w:rPr>
          <w:sz w:val="22"/>
          <w:szCs w:val="22"/>
        </w:rPr>
        <w:t xml:space="preserve"> </w:t>
      </w:r>
      <w:r w:rsidR="00BE12E6" w:rsidRPr="00967450">
        <w:rPr>
          <w:sz w:val="22"/>
          <w:szCs w:val="22"/>
        </w:rPr>
        <w:t xml:space="preserve">aligns with other standards </w:t>
      </w:r>
      <w:r w:rsidR="00ED60CF" w:rsidRPr="00967450">
        <w:rPr>
          <w:sz w:val="22"/>
          <w:szCs w:val="22"/>
        </w:rPr>
        <w:t>such as</w:t>
      </w:r>
      <w:r w:rsidR="00BE12E6" w:rsidRPr="00967450">
        <w:rPr>
          <w:sz w:val="22"/>
          <w:szCs w:val="22"/>
        </w:rPr>
        <w:t xml:space="preserve"> </w:t>
      </w:r>
      <w:r w:rsidR="006945CC" w:rsidRPr="00967450">
        <w:rPr>
          <w:sz w:val="22"/>
          <w:szCs w:val="22"/>
        </w:rPr>
        <w:t>Security Council resolution 1566 (2004)</w:t>
      </w:r>
      <w:r w:rsidR="00ED60CF" w:rsidRPr="00967450">
        <w:rPr>
          <w:sz w:val="22"/>
          <w:szCs w:val="22"/>
        </w:rPr>
        <w:t xml:space="preserve">, </w:t>
      </w:r>
      <w:r w:rsidR="006945CC" w:rsidRPr="00967450">
        <w:rPr>
          <w:sz w:val="22"/>
          <w:szCs w:val="22"/>
        </w:rPr>
        <w:t>the Terrorist Financing Convention</w:t>
      </w:r>
      <w:r w:rsidR="00ED60CF" w:rsidRPr="00967450">
        <w:rPr>
          <w:sz w:val="22"/>
          <w:szCs w:val="22"/>
        </w:rPr>
        <w:t xml:space="preserve"> 1999, and </w:t>
      </w:r>
      <w:r w:rsidR="00531A84" w:rsidRPr="00967450">
        <w:rPr>
          <w:sz w:val="22"/>
          <w:szCs w:val="22"/>
        </w:rPr>
        <w:t xml:space="preserve">the General Assembly’s Declaration on Measures to Eliminate Terrorism of 1994. </w:t>
      </w:r>
      <w:r w:rsidR="00CB2531" w:rsidRPr="00967450">
        <w:rPr>
          <w:sz w:val="22"/>
          <w:szCs w:val="22"/>
        </w:rPr>
        <w:t xml:space="preserve">The model definition may be used to guide national, regional and international practice, including to assist </w:t>
      </w:r>
      <w:r w:rsidR="00B93899" w:rsidRPr="00B50E28">
        <w:rPr>
          <w:sz w:val="22"/>
          <w:szCs w:val="22"/>
        </w:rPr>
        <w:t>in drafting the</w:t>
      </w:r>
      <w:r w:rsidR="00CB2531" w:rsidRPr="00967450">
        <w:rPr>
          <w:sz w:val="22"/>
          <w:szCs w:val="22"/>
        </w:rPr>
        <w:t xml:space="preserve"> United Nations comprehensive </w:t>
      </w:r>
      <w:proofErr w:type="spellStart"/>
      <w:r w:rsidR="00CB2531" w:rsidRPr="00967450">
        <w:rPr>
          <w:sz w:val="22"/>
          <w:szCs w:val="22"/>
        </w:rPr>
        <w:t>counter-terrorism</w:t>
      </w:r>
      <w:proofErr w:type="spellEnd"/>
      <w:r w:rsidR="00CB2531" w:rsidRPr="00967450">
        <w:rPr>
          <w:sz w:val="22"/>
          <w:szCs w:val="22"/>
        </w:rPr>
        <w:t xml:space="preserve"> convention and </w:t>
      </w:r>
      <w:r w:rsidR="00B93899" w:rsidRPr="00B50E28">
        <w:rPr>
          <w:sz w:val="22"/>
          <w:szCs w:val="22"/>
        </w:rPr>
        <w:t xml:space="preserve">guide </w:t>
      </w:r>
      <w:r w:rsidR="00CB31FE" w:rsidRPr="00967450">
        <w:rPr>
          <w:sz w:val="22"/>
          <w:szCs w:val="22"/>
        </w:rPr>
        <w:t xml:space="preserve">United Nations </w:t>
      </w:r>
      <w:proofErr w:type="spellStart"/>
      <w:r w:rsidR="00CB31FE" w:rsidRPr="00967450">
        <w:rPr>
          <w:sz w:val="22"/>
          <w:szCs w:val="22"/>
        </w:rPr>
        <w:t>counter-terrorism</w:t>
      </w:r>
      <w:proofErr w:type="spellEnd"/>
      <w:r w:rsidR="00CB31FE" w:rsidRPr="00967450">
        <w:rPr>
          <w:sz w:val="22"/>
          <w:szCs w:val="22"/>
        </w:rPr>
        <w:t xml:space="preserve"> activities. </w:t>
      </w:r>
    </w:p>
    <w:p w14:paraId="1104B556" w14:textId="7A1B7FB4" w:rsidR="00C9695D" w:rsidRPr="00967450" w:rsidRDefault="00FB5C0C" w:rsidP="00967450">
      <w:pPr>
        <w:spacing w:before="80" w:after="80"/>
        <w:ind w:firstLine="720"/>
        <w:jc w:val="both"/>
        <w:rPr>
          <w:sz w:val="22"/>
          <w:szCs w:val="22"/>
        </w:rPr>
      </w:pPr>
      <w:r w:rsidRPr="00967450">
        <w:rPr>
          <w:b/>
          <w:bCs/>
          <w:sz w:val="22"/>
          <w:szCs w:val="22"/>
        </w:rPr>
        <w:t>Elements of the model definition:</w:t>
      </w:r>
      <w:r w:rsidRPr="00967450">
        <w:rPr>
          <w:sz w:val="22"/>
          <w:szCs w:val="22"/>
        </w:rPr>
        <w:t xml:space="preserve"> </w:t>
      </w:r>
      <w:r w:rsidR="00531A84" w:rsidRPr="00967450">
        <w:rPr>
          <w:i/>
          <w:iCs/>
          <w:sz w:val="22"/>
          <w:szCs w:val="22"/>
        </w:rPr>
        <w:t xml:space="preserve">The </w:t>
      </w:r>
      <w:r w:rsidR="004746A8" w:rsidRPr="00967450">
        <w:rPr>
          <w:i/>
          <w:iCs/>
          <w:sz w:val="22"/>
          <w:szCs w:val="22"/>
        </w:rPr>
        <w:t xml:space="preserve">model definition limits the physical conduct </w:t>
      </w:r>
      <w:r w:rsidR="00C9695D" w:rsidRPr="00967450">
        <w:rPr>
          <w:i/>
          <w:iCs/>
          <w:sz w:val="22"/>
          <w:szCs w:val="22"/>
        </w:rPr>
        <w:t>(actus reus)</w:t>
      </w:r>
      <w:r w:rsidR="004746A8" w:rsidRPr="00967450">
        <w:rPr>
          <w:i/>
          <w:iCs/>
          <w:sz w:val="22"/>
          <w:szCs w:val="22"/>
        </w:rPr>
        <w:t xml:space="preserve"> to serious criminal acts that </w:t>
      </w:r>
      <w:r w:rsidR="00C9695D" w:rsidRPr="00967450">
        <w:rPr>
          <w:i/>
          <w:iCs/>
          <w:sz w:val="22"/>
          <w:szCs w:val="22"/>
        </w:rPr>
        <w:t>intentionally cause death, serious bodily injury, or involve hostage-taking</w:t>
      </w:r>
      <w:r w:rsidR="004746A8" w:rsidRPr="00967450">
        <w:rPr>
          <w:sz w:val="22"/>
          <w:szCs w:val="22"/>
        </w:rPr>
        <w:t xml:space="preserve">, thus </w:t>
      </w:r>
      <w:r w:rsidR="00074C15" w:rsidRPr="00967450">
        <w:rPr>
          <w:sz w:val="22"/>
          <w:szCs w:val="22"/>
        </w:rPr>
        <w:t xml:space="preserve">properly </w:t>
      </w:r>
      <w:r w:rsidR="00C9695D" w:rsidRPr="00967450">
        <w:rPr>
          <w:sz w:val="22"/>
          <w:szCs w:val="22"/>
        </w:rPr>
        <w:t>confin</w:t>
      </w:r>
      <w:r w:rsidR="00074C15" w:rsidRPr="00967450">
        <w:rPr>
          <w:sz w:val="22"/>
          <w:szCs w:val="22"/>
        </w:rPr>
        <w:t>ing</w:t>
      </w:r>
      <w:r w:rsidR="00C9695D" w:rsidRPr="00967450">
        <w:rPr>
          <w:sz w:val="22"/>
          <w:szCs w:val="22"/>
        </w:rPr>
        <w:t xml:space="preserve"> terrorism to the gravest </w:t>
      </w:r>
      <w:r w:rsidR="00074C15" w:rsidRPr="00967450">
        <w:rPr>
          <w:sz w:val="22"/>
          <w:szCs w:val="22"/>
        </w:rPr>
        <w:t>threats to the right to life, security of person, and liberty</w:t>
      </w:r>
      <w:r w:rsidR="00E63471" w:rsidRPr="00967450">
        <w:rPr>
          <w:sz w:val="22"/>
          <w:szCs w:val="22"/>
        </w:rPr>
        <w:t xml:space="preserve"> and excluding mere harm to property</w:t>
      </w:r>
      <w:r w:rsidR="00074C15" w:rsidRPr="00967450">
        <w:rPr>
          <w:sz w:val="22"/>
          <w:szCs w:val="22"/>
        </w:rPr>
        <w:t>.</w:t>
      </w:r>
      <w:r w:rsidR="00183EAB" w:rsidRPr="00967450">
        <w:rPr>
          <w:sz w:val="22"/>
          <w:szCs w:val="22"/>
        </w:rPr>
        <w:t xml:space="preserve"> </w:t>
      </w:r>
      <w:r w:rsidR="00183EAB" w:rsidRPr="00967450">
        <w:rPr>
          <w:i/>
          <w:iCs/>
          <w:sz w:val="22"/>
          <w:szCs w:val="22"/>
        </w:rPr>
        <w:t xml:space="preserve">The mental element </w:t>
      </w:r>
      <w:r w:rsidR="00E705DB" w:rsidRPr="00967450">
        <w:rPr>
          <w:i/>
          <w:iCs/>
          <w:sz w:val="22"/>
          <w:szCs w:val="22"/>
        </w:rPr>
        <w:t>(</w:t>
      </w:r>
      <w:proofErr w:type="spellStart"/>
      <w:r w:rsidR="00E705DB" w:rsidRPr="00967450">
        <w:rPr>
          <w:i/>
          <w:iCs/>
          <w:sz w:val="22"/>
          <w:szCs w:val="22"/>
        </w:rPr>
        <w:t>mens</w:t>
      </w:r>
      <w:proofErr w:type="spellEnd"/>
      <w:r w:rsidR="00E705DB" w:rsidRPr="00967450">
        <w:rPr>
          <w:i/>
          <w:iCs/>
          <w:sz w:val="22"/>
          <w:szCs w:val="22"/>
        </w:rPr>
        <w:t xml:space="preserve"> rea) should also be high</w:t>
      </w:r>
      <w:r w:rsidR="00E707CE" w:rsidRPr="00967450">
        <w:rPr>
          <w:i/>
          <w:iCs/>
          <w:sz w:val="22"/>
          <w:szCs w:val="22"/>
        </w:rPr>
        <w:t xml:space="preserve"> – intention</w:t>
      </w:r>
      <w:r w:rsidR="00877AE5" w:rsidRPr="00967450">
        <w:rPr>
          <w:i/>
          <w:iCs/>
          <w:sz w:val="22"/>
          <w:szCs w:val="22"/>
        </w:rPr>
        <w:t>, not recklessness</w:t>
      </w:r>
      <w:r w:rsidR="00B045C9" w:rsidRPr="00967450">
        <w:rPr>
          <w:i/>
          <w:iCs/>
          <w:sz w:val="22"/>
          <w:szCs w:val="22"/>
        </w:rPr>
        <w:t xml:space="preserve"> or negligence</w:t>
      </w:r>
      <w:r w:rsidR="00E707CE" w:rsidRPr="00967450">
        <w:rPr>
          <w:sz w:val="22"/>
          <w:szCs w:val="22"/>
        </w:rPr>
        <w:t xml:space="preserve"> –</w:t>
      </w:r>
      <w:r w:rsidR="00B872B8" w:rsidRPr="00967450">
        <w:rPr>
          <w:sz w:val="22"/>
          <w:szCs w:val="22"/>
        </w:rPr>
        <w:t xml:space="preserve"> to reflect the g</w:t>
      </w:r>
      <w:r w:rsidR="001016FF" w:rsidRPr="00967450">
        <w:rPr>
          <w:sz w:val="22"/>
          <w:szCs w:val="22"/>
        </w:rPr>
        <w:t>ravity of terrorism</w:t>
      </w:r>
      <w:r w:rsidR="00E707CE" w:rsidRPr="00967450">
        <w:rPr>
          <w:sz w:val="22"/>
          <w:szCs w:val="22"/>
        </w:rPr>
        <w:t>.</w:t>
      </w:r>
    </w:p>
    <w:p w14:paraId="0DBD3F1A" w14:textId="1C16F481" w:rsidR="00107A59" w:rsidRPr="00967450" w:rsidRDefault="00B50E28" w:rsidP="00967450">
      <w:pPr>
        <w:spacing w:before="80" w:after="80"/>
        <w:ind w:firstLine="720"/>
        <w:jc w:val="both"/>
        <w:rPr>
          <w:sz w:val="22"/>
          <w:szCs w:val="22"/>
        </w:rPr>
      </w:pPr>
      <w:r>
        <w:rPr>
          <w:sz w:val="22"/>
          <w:szCs w:val="22"/>
        </w:rPr>
        <w:t>A</w:t>
      </w:r>
      <w:r w:rsidR="00E707CE" w:rsidRPr="00967450">
        <w:rPr>
          <w:sz w:val="22"/>
          <w:szCs w:val="22"/>
        </w:rPr>
        <w:t xml:space="preserve"> defining characteristic of terrorism is </w:t>
      </w:r>
      <w:r w:rsidR="00A962F0">
        <w:rPr>
          <w:sz w:val="22"/>
          <w:szCs w:val="22"/>
        </w:rPr>
        <w:t>its</w:t>
      </w:r>
      <w:r w:rsidR="00AD071E" w:rsidRPr="00967450">
        <w:rPr>
          <w:sz w:val="22"/>
          <w:szCs w:val="22"/>
        </w:rPr>
        <w:t xml:space="preserve"> instrumental </w:t>
      </w:r>
      <w:r w:rsidR="00A962F0">
        <w:rPr>
          <w:sz w:val="22"/>
          <w:szCs w:val="22"/>
        </w:rPr>
        <w:t>purpose</w:t>
      </w:r>
      <w:r w:rsidR="00AD071E" w:rsidRPr="00967450">
        <w:rPr>
          <w:sz w:val="22"/>
          <w:szCs w:val="22"/>
        </w:rPr>
        <w:t xml:space="preserve"> beyond the underlying physical conduct. </w:t>
      </w:r>
      <w:r w:rsidR="00AD071E" w:rsidRPr="00967450">
        <w:rPr>
          <w:i/>
          <w:iCs/>
          <w:sz w:val="22"/>
          <w:szCs w:val="22"/>
        </w:rPr>
        <w:t xml:space="preserve">Thus, </w:t>
      </w:r>
      <w:r w:rsidR="00A962F0" w:rsidRPr="00967450">
        <w:rPr>
          <w:i/>
          <w:iCs/>
          <w:sz w:val="22"/>
          <w:szCs w:val="22"/>
        </w:rPr>
        <w:t xml:space="preserve">the model definition </w:t>
      </w:r>
      <w:r w:rsidR="00132ADC" w:rsidRPr="00967450">
        <w:rPr>
          <w:i/>
          <w:iCs/>
          <w:sz w:val="22"/>
          <w:szCs w:val="22"/>
        </w:rPr>
        <w:t>requires that a</w:t>
      </w:r>
      <w:r w:rsidR="00AD071E" w:rsidRPr="00967450">
        <w:rPr>
          <w:i/>
          <w:iCs/>
          <w:sz w:val="22"/>
          <w:szCs w:val="22"/>
        </w:rPr>
        <w:t xml:space="preserve"> person must </w:t>
      </w:r>
      <w:r w:rsidR="001D17A5" w:rsidRPr="00967450">
        <w:rPr>
          <w:i/>
          <w:iCs/>
          <w:sz w:val="22"/>
          <w:szCs w:val="22"/>
        </w:rPr>
        <w:t>specifically intend that their conduct either (</w:t>
      </w:r>
      <w:proofErr w:type="spellStart"/>
      <w:r w:rsidR="001D17A5" w:rsidRPr="00967450">
        <w:rPr>
          <w:i/>
          <w:iCs/>
          <w:sz w:val="22"/>
          <w:szCs w:val="22"/>
        </w:rPr>
        <w:t>i</w:t>
      </w:r>
      <w:proofErr w:type="spellEnd"/>
      <w:r w:rsidR="001D17A5" w:rsidRPr="00967450">
        <w:rPr>
          <w:i/>
          <w:iCs/>
          <w:sz w:val="22"/>
          <w:szCs w:val="22"/>
        </w:rPr>
        <w:t xml:space="preserve">) </w:t>
      </w:r>
      <w:r w:rsidR="00B84B1A" w:rsidRPr="00967450">
        <w:rPr>
          <w:i/>
          <w:iCs/>
          <w:sz w:val="22"/>
          <w:szCs w:val="22"/>
        </w:rPr>
        <w:t>provoke</w:t>
      </w:r>
      <w:r w:rsidR="00457A25" w:rsidRPr="00967450">
        <w:rPr>
          <w:i/>
          <w:iCs/>
          <w:sz w:val="22"/>
          <w:szCs w:val="22"/>
        </w:rPr>
        <w:t>s</w:t>
      </w:r>
      <w:r w:rsidR="00B84B1A" w:rsidRPr="00967450">
        <w:rPr>
          <w:i/>
          <w:iCs/>
          <w:sz w:val="22"/>
          <w:szCs w:val="22"/>
        </w:rPr>
        <w:t xml:space="preserve"> a state of terror </w:t>
      </w:r>
      <w:r w:rsidR="000C62AB" w:rsidRPr="00967450">
        <w:rPr>
          <w:i/>
          <w:iCs/>
          <w:sz w:val="22"/>
          <w:szCs w:val="22"/>
        </w:rPr>
        <w:t xml:space="preserve">in the public or a group of </w:t>
      </w:r>
      <w:proofErr w:type="gramStart"/>
      <w:r w:rsidR="000C62AB" w:rsidRPr="00967450">
        <w:rPr>
          <w:i/>
          <w:iCs/>
          <w:sz w:val="22"/>
          <w:szCs w:val="22"/>
        </w:rPr>
        <w:t>persons</w:t>
      </w:r>
      <w:proofErr w:type="gramEnd"/>
      <w:r w:rsidR="006F265A" w:rsidRPr="00967450">
        <w:rPr>
          <w:i/>
          <w:iCs/>
          <w:sz w:val="22"/>
          <w:szCs w:val="22"/>
        </w:rPr>
        <w:t xml:space="preserve"> (as </w:t>
      </w:r>
      <w:r w:rsidR="00132ADC" w:rsidRPr="00967450">
        <w:rPr>
          <w:i/>
          <w:iCs/>
          <w:sz w:val="22"/>
          <w:szCs w:val="22"/>
        </w:rPr>
        <w:t>endorsed</w:t>
      </w:r>
      <w:r w:rsidR="006F265A" w:rsidRPr="00967450">
        <w:rPr>
          <w:i/>
          <w:iCs/>
          <w:sz w:val="22"/>
          <w:szCs w:val="22"/>
        </w:rPr>
        <w:t xml:space="preserve"> by the General Assembly)</w:t>
      </w:r>
      <w:r w:rsidR="000C62AB" w:rsidRPr="00967450">
        <w:rPr>
          <w:i/>
          <w:iCs/>
          <w:sz w:val="22"/>
          <w:szCs w:val="22"/>
        </w:rPr>
        <w:t xml:space="preserve">; or </w:t>
      </w:r>
      <w:r w:rsidR="001D17A5" w:rsidRPr="00967450">
        <w:rPr>
          <w:i/>
          <w:iCs/>
          <w:sz w:val="22"/>
          <w:szCs w:val="22"/>
        </w:rPr>
        <w:t>(ii)</w:t>
      </w:r>
      <w:r w:rsidR="000C62AB" w:rsidRPr="00967450">
        <w:rPr>
          <w:i/>
          <w:iCs/>
          <w:sz w:val="22"/>
          <w:szCs w:val="22"/>
        </w:rPr>
        <w:t xml:space="preserve"> unduly compel</w:t>
      </w:r>
      <w:r w:rsidR="00457A25" w:rsidRPr="00967450">
        <w:rPr>
          <w:i/>
          <w:iCs/>
          <w:sz w:val="22"/>
          <w:szCs w:val="22"/>
        </w:rPr>
        <w:t>s</w:t>
      </w:r>
      <w:r w:rsidR="000C62AB" w:rsidRPr="00967450">
        <w:rPr>
          <w:i/>
          <w:iCs/>
          <w:sz w:val="22"/>
          <w:szCs w:val="22"/>
        </w:rPr>
        <w:t xml:space="preserve"> a </w:t>
      </w:r>
      <w:r w:rsidR="001D17A5" w:rsidRPr="00967450">
        <w:rPr>
          <w:i/>
          <w:iCs/>
          <w:sz w:val="22"/>
          <w:szCs w:val="22"/>
        </w:rPr>
        <w:t>government or an international organization to do or to refrain from doing something.</w:t>
      </w:r>
      <w:r w:rsidR="001D17A5" w:rsidRPr="00967450">
        <w:rPr>
          <w:sz w:val="22"/>
          <w:szCs w:val="22"/>
        </w:rPr>
        <w:t xml:space="preserve"> </w:t>
      </w:r>
      <w:r w:rsidR="00457A25" w:rsidRPr="00967450">
        <w:rPr>
          <w:sz w:val="22"/>
          <w:szCs w:val="22"/>
        </w:rPr>
        <w:t xml:space="preserve">These elements </w:t>
      </w:r>
      <w:r w:rsidR="00607D5D" w:rsidRPr="00967450">
        <w:rPr>
          <w:sz w:val="22"/>
          <w:szCs w:val="22"/>
        </w:rPr>
        <w:t xml:space="preserve">protect the human right to security of </w:t>
      </w:r>
      <w:proofErr w:type="gramStart"/>
      <w:r w:rsidR="00607D5D" w:rsidRPr="00967450">
        <w:rPr>
          <w:sz w:val="22"/>
          <w:szCs w:val="22"/>
        </w:rPr>
        <w:t>person</w:t>
      </w:r>
      <w:proofErr w:type="gramEnd"/>
      <w:r w:rsidR="00D556DC" w:rsidRPr="00967450">
        <w:rPr>
          <w:sz w:val="22"/>
          <w:szCs w:val="22"/>
        </w:rPr>
        <w:t xml:space="preserve"> and</w:t>
      </w:r>
      <w:r w:rsidR="00607D5D" w:rsidRPr="00967450">
        <w:rPr>
          <w:sz w:val="22"/>
          <w:szCs w:val="22"/>
        </w:rPr>
        <w:t xml:space="preserve"> the </w:t>
      </w:r>
      <w:r w:rsidR="00D07A8D" w:rsidRPr="00967450">
        <w:rPr>
          <w:sz w:val="22"/>
          <w:szCs w:val="22"/>
        </w:rPr>
        <w:t xml:space="preserve">right of the population </w:t>
      </w:r>
      <w:r w:rsidR="00C9695D" w:rsidRPr="00967450">
        <w:rPr>
          <w:sz w:val="22"/>
          <w:szCs w:val="22"/>
        </w:rPr>
        <w:t xml:space="preserve">to participate in </w:t>
      </w:r>
      <w:r w:rsidR="00D07A8D" w:rsidRPr="00967450">
        <w:rPr>
          <w:sz w:val="22"/>
          <w:szCs w:val="22"/>
        </w:rPr>
        <w:t xml:space="preserve">public </w:t>
      </w:r>
      <w:r w:rsidR="00C9695D" w:rsidRPr="00967450">
        <w:rPr>
          <w:sz w:val="22"/>
          <w:szCs w:val="22"/>
        </w:rPr>
        <w:t xml:space="preserve">affairs free from violent interference and </w:t>
      </w:r>
      <w:r w:rsidR="007037EE">
        <w:rPr>
          <w:sz w:val="22"/>
          <w:szCs w:val="22"/>
        </w:rPr>
        <w:t>ensure</w:t>
      </w:r>
      <w:r w:rsidR="00C9695D" w:rsidRPr="00967450">
        <w:rPr>
          <w:sz w:val="22"/>
          <w:szCs w:val="22"/>
        </w:rPr>
        <w:t xml:space="preserve"> </w:t>
      </w:r>
      <w:r w:rsidR="002B531F">
        <w:rPr>
          <w:sz w:val="22"/>
          <w:szCs w:val="22"/>
        </w:rPr>
        <w:t xml:space="preserve">that </w:t>
      </w:r>
      <w:r w:rsidR="00C9695D" w:rsidRPr="00967450">
        <w:rPr>
          <w:sz w:val="22"/>
          <w:szCs w:val="22"/>
        </w:rPr>
        <w:t xml:space="preserve">governments can fulfil </w:t>
      </w:r>
      <w:r w:rsidR="00BC4DA0" w:rsidRPr="00967450">
        <w:rPr>
          <w:sz w:val="22"/>
          <w:szCs w:val="22"/>
        </w:rPr>
        <w:t xml:space="preserve">their </w:t>
      </w:r>
      <w:r w:rsidR="00C9695D" w:rsidRPr="00967450">
        <w:rPr>
          <w:sz w:val="22"/>
          <w:szCs w:val="22"/>
        </w:rPr>
        <w:t xml:space="preserve">human rights obligations without </w:t>
      </w:r>
      <w:r w:rsidR="00624C36" w:rsidRPr="00967450">
        <w:rPr>
          <w:sz w:val="22"/>
          <w:szCs w:val="22"/>
        </w:rPr>
        <w:t xml:space="preserve">violent </w:t>
      </w:r>
      <w:r w:rsidR="00C9695D" w:rsidRPr="00967450">
        <w:rPr>
          <w:sz w:val="22"/>
          <w:szCs w:val="22"/>
        </w:rPr>
        <w:t>disruption.</w:t>
      </w:r>
      <w:r w:rsidR="002B7ED2" w:rsidRPr="00967450">
        <w:rPr>
          <w:sz w:val="22"/>
          <w:szCs w:val="22"/>
        </w:rPr>
        <w:t xml:space="preserve"> </w:t>
      </w:r>
    </w:p>
    <w:p w14:paraId="789E8F3C" w14:textId="247EB70D" w:rsidR="00390DDB" w:rsidRPr="00967450" w:rsidRDefault="00C81453" w:rsidP="00967450">
      <w:pPr>
        <w:spacing w:before="80" w:after="80"/>
        <w:jc w:val="both"/>
        <w:rPr>
          <w:sz w:val="22"/>
          <w:szCs w:val="22"/>
        </w:rPr>
      </w:pPr>
      <w:r w:rsidRPr="00967450">
        <w:rPr>
          <w:sz w:val="22"/>
          <w:szCs w:val="22"/>
        </w:rPr>
        <w:tab/>
      </w:r>
      <w:r w:rsidRPr="00967450">
        <w:rPr>
          <w:i/>
          <w:iCs/>
          <w:sz w:val="22"/>
          <w:szCs w:val="22"/>
        </w:rPr>
        <w:t xml:space="preserve">A further critical </w:t>
      </w:r>
      <w:r w:rsidR="00B20260" w:rsidRPr="00967450">
        <w:rPr>
          <w:i/>
          <w:iCs/>
          <w:sz w:val="22"/>
          <w:szCs w:val="22"/>
        </w:rPr>
        <w:t>element</w:t>
      </w:r>
      <w:r w:rsidRPr="00967450">
        <w:rPr>
          <w:i/>
          <w:iCs/>
          <w:sz w:val="22"/>
          <w:szCs w:val="22"/>
        </w:rPr>
        <w:t xml:space="preserve"> is </w:t>
      </w:r>
      <w:r w:rsidR="00B20260" w:rsidRPr="00967450">
        <w:rPr>
          <w:i/>
          <w:iCs/>
          <w:sz w:val="22"/>
          <w:szCs w:val="22"/>
        </w:rPr>
        <w:t xml:space="preserve">that the conduct </w:t>
      </w:r>
      <w:r w:rsidR="006814D2" w:rsidRPr="00967450">
        <w:rPr>
          <w:i/>
          <w:iCs/>
          <w:sz w:val="22"/>
          <w:szCs w:val="22"/>
        </w:rPr>
        <w:t>must be</w:t>
      </w:r>
      <w:r w:rsidR="00B20260" w:rsidRPr="00967450">
        <w:rPr>
          <w:i/>
          <w:iCs/>
          <w:sz w:val="22"/>
          <w:szCs w:val="22"/>
        </w:rPr>
        <w:t xml:space="preserve"> intended to advance a political or ideological purpose, which must be a substantial purpose.</w:t>
      </w:r>
      <w:r w:rsidR="00B20260" w:rsidRPr="00967450">
        <w:rPr>
          <w:sz w:val="22"/>
          <w:szCs w:val="22"/>
        </w:rPr>
        <w:t xml:space="preserve"> </w:t>
      </w:r>
      <w:r w:rsidR="00390DDB" w:rsidRPr="00967450">
        <w:rPr>
          <w:sz w:val="22"/>
          <w:szCs w:val="22"/>
        </w:rPr>
        <w:t xml:space="preserve">This element </w:t>
      </w:r>
      <w:r w:rsidR="00776277" w:rsidRPr="00967450">
        <w:rPr>
          <w:sz w:val="22"/>
          <w:szCs w:val="22"/>
        </w:rPr>
        <w:t xml:space="preserve">properly differentiates political terrorism from private violence, including profit-motivated organized crime, which </w:t>
      </w:r>
      <w:proofErr w:type="gramStart"/>
      <w:r w:rsidR="00776277" w:rsidRPr="00967450">
        <w:rPr>
          <w:sz w:val="22"/>
          <w:szCs w:val="22"/>
        </w:rPr>
        <w:t>are</w:t>
      </w:r>
      <w:proofErr w:type="gramEnd"/>
      <w:r w:rsidR="00776277" w:rsidRPr="00967450">
        <w:rPr>
          <w:sz w:val="22"/>
          <w:szCs w:val="22"/>
        </w:rPr>
        <w:t xml:space="preserve"> more appropriately addressed by other legal frameworks. </w:t>
      </w:r>
      <w:r w:rsidR="00390DDB" w:rsidRPr="00967450">
        <w:rPr>
          <w:sz w:val="22"/>
          <w:szCs w:val="22"/>
        </w:rPr>
        <w:t>The definition does not include a religious purpose due to risks of discriminatory profiling</w:t>
      </w:r>
      <w:r w:rsidR="00AB116E" w:rsidRPr="00967450">
        <w:rPr>
          <w:sz w:val="22"/>
          <w:szCs w:val="22"/>
        </w:rPr>
        <w:t>, but religiously motivated violence would usually be captured as ideological and/or political.</w:t>
      </w:r>
    </w:p>
    <w:p w14:paraId="15783DD2" w14:textId="43B0C681" w:rsidR="00B113F7" w:rsidRPr="00967450" w:rsidRDefault="00B113F7" w:rsidP="00967450">
      <w:pPr>
        <w:spacing w:before="80" w:after="80"/>
        <w:ind w:firstLine="720"/>
        <w:jc w:val="both"/>
        <w:rPr>
          <w:i/>
          <w:iCs/>
          <w:sz w:val="22"/>
          <w:szCs w:val="22"/>
        </w:rPr>
      </w:pPr>
      <w:r w:rsidRPr="00967450">
        <w:rPr>
          <w:i/>
          <w:iCs/>
          <w:sz w:val="22"/>
          <w:szCs w:val="22"/>
        </w:rPr>
        <w:t>Finally, the</w:t>
      </w:r>
      <w:r w:rsidR="0031764E" w:rsidRPr="00967450">
        <w:rPr>
          <w:i/>
          <w:iCs/>
          <w:sz w:val="22"/>
          <w:szCs w:val="22"/>
        </w:rPr>
        <w:t xml:space="preserve"> person</w:t>
      </w:r>
      <w:r w:rsidRPr="00967450">
        <w:rPr>
          <w:i/>
          <w:iCs/>
          <w:sz w:val="22"/>
          <w:szCs w:val="22"/>
        </w:rPr>
        <w:t xml:space="preserve"> must intentionally cause serious damage to a country or an international organization</w:t>
      </w:r>
      <w:r w:rsidRPr="00967450">
        <w:rPr>
          <w:sz w:val="22"/>
          <w:szCs w:val="22"/>
        </w:rPr>
        <w:t>, reflecting that terrorism should be limited to exceptional threats.</w:t>
      </w:r>
    </w:p>
    <w:p w14:paraId="1182E597" w14:textId="02D3E8A7" w:rsidR="0087217B" w:rsidRPr="00967450" w:rsidRDefault="00E63471" w:rsidP="00967450">
      <w:pPr>
        <w:spacing w:before="80" w:after="80"/>
        <w:jc w:val="both"/>
        <w:rPr>
          <w:sz w:val="22"/>
          <w:szCs w:val="22"/>
        </w:rPr>
      </w:pPr>
      <w:r w:rsidRPr="00967450">
        <w:rPr>
          <w:sz w:val="22"/>
          <w:szCs w:val="22"/>
        </w:rPr>
        <w:tab/>
      </w:r>
      <w:r w:rsidR="00FB5C0C" w:rsidRPr="00967450">
        <w:rPr>
          <w:b/>
          <w:bCs/>
          <w:sz w:val="22"/>
          <w:szCs w:val="22"/>
        </w:rPr>
        <w:t>Exceptions to the definition:</w:t>
      </w:r>
      <w:r w:rsidR="00FB5C0C" w:rsidRPr="00967450">
        <w:rPr>
          <w:sz w:val="22"/>
          <w:szCs w:val="22"/>
        </w:rPr>
        <w:t xml:space="preserve"> </w:t>
      </w:r>
      <w:r w:rsidRPr="00967450">
        <w:rPr>
          <w:sz w:val="22"/>
          <w:szCs w:val="22"/>
        </w:rPr>
        <w:t xml:space="preserve">The </w:t>
      </w:r>
      <w:r w:rsidR="00FB5C0C" w:rsidRPr="00967450">
        <w:rPr>
          <w:sz w:val="22"/>
          <w:szCs w:val="22"/>
        </w:rPr>
        <w:t>report</w:t>
      </w:r>
      <w:r w:rsidRPr="00967450">
        <w:rPr>
          <w:sz w:val="22"/>
          <w:szCs w:val="22"/>
        </w:rPr>
        <w:t xml:space="preserve"> emphasizes that even </w:t>
      </w:r>
      <w:r w:rsidR="00364BB6" w:rsidRPr="00967450">
        <w:rPr>
          <w:sz w:val="22"/>
          <w:szCs w:val="22"/>
        </w:rPr>
        <w:t xml:space="preserve">narrow definitions </w:t>
      </w:r>
      <w:r w:rsidR="0087217B" w:rsidRPr="00967450">
        <w:rPr>
          <w:sz w:val="22"/>
          <w:szCs w:val="22"/>
        </w:rPr>
        <w:t xml:space="preserve">require principled exceptions to </w:t>
      </w:r>
      <w:r w:rsidR="00364BB6" w:rsidRPr="00967450">
        <w:rPr>
          <w:sz w:val="22"/>
          <w:szCs w:val="22"/>
        </w:rPr>
        <w:t>further safeguard</w:t>
      </w:r>
      <w:r w:rsidR="0087217B" w:rsidRPr="00967450">
        <w:rPr>
          <w:sz w:val="22"/>
          <w:szCs w:val="22"/>
        </w:rPr>
        <w:t xml:space="preserve"> human rights and confine liability to genuinely terrorist conduct</w:t>
      </w:r>
      <w:r w:rsidR="00364BB6" w:rsidRPr="00967450">
        <w:rPr>
          <w:sz w:val="22"/>
          <w:szCs w:val="22"/>
        </w:rPr>
        <w:t>. The definition accordingly excludes: (</w:t>
      </w:r>
      <w:proofErr w:type="spellStart"/>
      <w:r w:rsidR="0087217B" w:rsidRPr="00967450">
        <w:rPr>
          <w:sz w:val="22"/>
          <w:szCs w:val="22"/>
        </w:rPr>
        <w:t>i</w:t>
      </w:r>
      <w:proofErr w:type="spellEnd"/>
      <w:r w:rsidR="0087217B" w:rsidRPr="00967450">
        <w:rPr>
          <w:sz w:val="22"/>
          <w:szCs w:val="22"/>
        </w:rPr>
        <w:t xml:space="preserve">) </w:t>
      </w:r>
      <w:r w:rsidR="0087217B" w:rsidRPr="00967450">
        <w:rPr>
          <w:i/>
          <w:iCs/>
          <w:sz w:val="22"/>
          <w:szCs w:val="22"/>
        </w:rPr>
        <w:t>acts of advocacy, protest, dissent, or industrial action that do not intentionally cause death or serious bodily injury</w:t>
      </w:r>
      <w:r w:rsidR="00364BB6" w:rsidRPr="00967450">
        <w:rPr>
          <w:sz w:val="22"/>
          <w:szCs w:val="22"/>
        </w:rPr>
        <w:t xml:space="preserve"> (</w:t>
      </w:r>
      <w:r w:rsidR="00F95ABA" w:rsidRPr="00967450">
        <w:rPr>
          <w:sz w:val="22"/>
          <w:szCs w:val="22"/>
        </w:rPr>
        <w:t>in the event that a</w:t>
      </w:r>
      <w:r w:rsidR="00E40894" w:rsidRPr="00967450">
        <w:rPr>
          <w:sz w:val="22"/>
          <w:szCs w:val="22"/>
        </w:rPr>
        <w:t xml:space="preserve"> </w:t>
      </w:r>
      <w:r w:rsidR="00F95ABA" w:rsidRPr="00967450">
        <w:rPr>
          <w:sz w:val="22"/>
          <w:szCs w:val="22"/>
        </w:rPr>
        <w:t xml:space="preserve">definition </w:t>
      </w:r>
      <w:r w:rsidR="00FD68D8" w:rsidRPr="00967450">
        <w:rPr>
          <w:sz w:val="22"/>
          <w:szCs w:val="22"/>
        </w:rPr>
        <w:t>includes</w:t>
      </w:r>
      <w:r w:rsidR="000D09F5" w:rsidRPr="00967450">
        <w:rPr>
          <w:sz w:val="22"/>
          <w:szCs w:val="22"/>
        </w:rPr>
        <w:t xml:space="preserve"> </w:t>
      </w:r>
      <w:r w:rsidR="00E40894" w:rsidRPr="00967450">
        <w:rPr>
          <w:sz w:val="22"/>
          <w:szCs w:val="22"/>
        </w:rPr>
        <w:t>harms to property)</w:t>
      </w:r>
      <w:r w:rsidR="0087217B" w:rsidRPr="00967450">
        <w:rPr>
          <w:sz w:val="22"/>
          <w:szCs w:val="22"/>
        </w:rPr>
        <w:t xml:space="preserve">; </w:t>
      </w:r>
      <w:r w:rsidR="00FD68D8" w:rsidRPr="00967450">
        <w:rPr>
          <w:sz w:val="22"/>
          <w:szCs w:val="22"/>
        </w:rPr>
        <w:t>(i</w:t>
      </w:r>
      <w:r w:rsidR="0087217B" w:rsidRPr="00967450">
        <w:rPr>
          <w:sz w:val="22"/>
          <w:szCs w:val="22"/>
        </w:rPr>
        <w:t xml:space="preserve">i) </w:t>
      </w:r>
      <w:r w:rsidR="0087217B" w:rsidRPr="00967450">
        <w:rPr>
          <w:i/>
          <w:iCs/>
          <w:sz w:val="22"/>
          <w:szCs w:val="22"/>
        </w:rPr>
        <w:t>conduct in armed conflict that does not violate international humanitarian law</w:t>
      </w:r>
      <w:r w:rsidR="00FD68D8" w:rsidRPr="00967450">
        <w:rPr>
          <w:i/>
          <w:iCs/>
          <w:sz w:val="22"/>
          <w:szCs w:val="22"/>
        </w:rPr>
        <w:t xml:space="preserve"> </w:t>
      </w:r>
      <w:r w:rsidR="00FD68D8" w:rsidRPr="00967450">
        <w:rPr>
          <w:sz w:val="22"/>
          <w:szCs w:val="22"/>
        </w:rPr>
        <w:t xml:space="preserve">(thus </w:t>
      </w:r>
      <w:r w:rsidR="003808C4" w:rsidRPr="00967450">
        <w:rPr>
          <w:sz w:val="22"/>
          <w:szCs w:val="22"/>
        </w:rPr>
        <w:t>avoiding undermining international humanitarian law</w:t>
      </w:r>
      <w:r w:rsidR="00FD68D8" w:rsidRPr="00967450">
        <w:rPr>
          <w:sz w:val="22"/>
          <w:szCs w:val="22"/>
        </w:rPr>
        <w:t>)</w:t>
      </w:r>
      <w:r w:rsidR="0087217B" w:rsidRPr="00967450">
        <w:rPr>
          <w:sz w:val="22"/>
          <w:szCs w:val="22"/>
        </w:rPr>
        <w:t xml:space="preserve">; </w:t>
      </w:r>
      <w:r w:rsidR="003808C4" w:rsidRPr="00967450">
        <w:rPr>
          <w:sz w:val="22"/>
          <w:szCs w:val="22"/>
        </w:rPr>
        <w:t>(</w:t>
      </w:r>
      <w:r w:rsidR="0087217B" w:rsidRPr="00967450">
        <w:rPr>
          <w:sz w:val="22"/>
          <w:szCs w:val="22"/>
        </w:rPr>
        <w:t xml:space="preserve">iii) </w:t>
      </w:r>
      <w:r w:rsidR="000D09F5" w:rsidRPr="00967450">
        <w:rPr>
          <w:i/>
          <w:iCs/>
          <w:sz w:val="22"/>
          <w:szCs w:val="22"/>
        </w:rPr>
        <w:t xml:space="preserve">the </w:t>
      </w:r>
      <w:r w:rsidR="0087217B" w:rsidRPr="00967450">
        <w:rPr>
          <w:i/>
          <w:iCs/>
          <w:sz w:val="22"/>
          <w:szCs w:val="22"/>
        </w:rPr>
        <w:t>provision of humanitarian and medical activities by impartial humanitarian organi</w:t>
      </w:r>
      <w:r w:rsidR="00DA357E" w:rsidRPr="00967450">
        <w:rPr>
          <w:i/>
          <w:iCs/>
          <w:sz w:val="22"/>
          <w:szCs w:val="22"/>
        </w:rPr>
        <w:t>z</w:t>
      </w:r>
      <w:r w:rsidR="0087217B" w:rsidRPr="00967450">
        <w:rPr>
          <w:i/>
          <w:iCs/>
          <w:sz w:val="22"/>
          <w:szCs w:val="22"/>
        </w:rPr>
        <w:t>ations</w:t>
      </w:r>
      <w:r w:rsidR="0087217B" w:rsidRPr="00967450">
        <w:rPr>
          <w:sz w:val="22"/>
          <w:szCs w:val="22"/>
        </w:rPr>
        <w:t xml:space="preserve"> </w:t>
      </w:r>
      <w:r w:rsidR="006814D2" w:rsidRPr="00967450">
        <w:rPr>
          <w:i/>
          <w:iCs/>
          <w:sz w:val="22"/>
          <w:szCs w:val="22"/>
        </w:rPr>
        <w:t>in accordance with</w:t>
      </w:r>
      <w:r w:rsidR="00853ED6" w:rsidRPr="00967450">
        <w:rPr>
          <w:i/>
          <w:iCs/>
          <w:sz w:val="22"/>
          <w:szCs w:val="22"/>
        </w:rPr>
        <w:t xml:space="preserve"> </w:t>
      </w:r>
      <w:r w:rsidR="0087217B" w:rsidRPr="00967450">
        <w:rPr>
          <w:i/>
          <w:iCs/>
          <w:sz w:val="22"/>
          <w:szCs w:val="22"/>
        </w:rPr>
        <w:t>international humanitarian law</w:t>
      </w:r>
      <w:r w:rsidR="0087217B" w:rsidRPr="00967450">
        <w:rPr>
          <w:sz w:val="22"/>
          <w:szCs w:val="22"/>
        </w:rPr>
        <w:t xml:space="preserve">; </w:t>
      </w:r>
      <w:r w:rsidR="003808C4" w:rsidRPr="00967450">
        <w:rPr>
          <w:sz w:val="22"/>
          <w:szCs w:val="22"/>
        </w:rPr>
        <w:t>(</w:t>
      </w:r>
      <w:r w:rsidR="0087217B" w:rsidRPr="00967450">
        <w:rPr>
          <w:sz w:val="22"/>
          <w:szCs w:val="22"/>
        </w:rPr>
        <w:t>iv)</w:t>
      </w:r>
      <w:r w:rsidR="003808C4" w:rsidRPr="00967450">
        <w:rPr>
          <w:sz w:val="22"/>
          <w:szCs w:val="22"/>
        </w:rPr>
        <w:t xml:space="preserve"> </w:t>
      </w:r>
      <w:r w:rsidR="003808C4" w:rsidRPr="00967450">
        <w:rPr>
          <w:i/>
          <w:iCs/>
          <w:sz w:val="22"/>
          <w:szCs w:val="22"/>
        </w:rPr>
        <w:t>the</w:t>
      </w:r>
      <w:r w:rsidR="0087217B" w:rsidRPr="00967450">
        <w:rPr>
          <w:i/>
          <w:iCs/>
          <w:sz w:val="22"/>
          <w:szCs w:val="22"/>
        </w:rPr>
        <w:t xml:space="preserve"> activities of State military forces in the exercise of </w:t>
      </w:r>
      <w:r w:rsidR="00853ED6" w:rsidRPr="00967450">
        <w:rPr>
          <w:i/>
          <w:iCs/>
          <w:sz w:val="22"/>
          <w:szCs w:val="22"/>
        </w:rPr>
        <w:t xml:space="preserve">their </w:t>
      </w:r>
      <w:r w:rsidR="0087217B" w:rsidRPr="00967450">
        <w:rPr>
          <w:i/>
          <w:iCs/>
          <w:sz w:val="22"/>
          <w:szCs w:val="22"/>
        </w:rPr>
        <w:t>official duties, insofar as they comply with international law</w:t>
      </w:r>
      <w:r w:rsidR="00853ED6" w:rsidRPr="00967450">
        <w:rPr>
          <w:sz w:val="22"/>
          <w:szCs w:val="22"/>
        </w:rPr>
        <w:t xml:space="preserve"> (recognizing certain legitimate State uses of force)</w:t>
      </w:r>
      <w:r w:rsidR="0087217B" w:rsidRPr="00967450">
        <w:rPr>
          <w:sz w:val="22"/>
          <w:szCs w:val="22"/>
        </w:rPr>
        <w:t xml:space="preserve">; and </w:t>
      </w:r>
      <w:r w:rsidR="00823981" w:rsidRPr="00967450">
        <w:rPr>
          <w:sz w:val="22"/>
          <w:szCs w:val="22"/>
        </w:rPr>
        <w:t>(</w:t>
      </w:r>
      <w:r w:rsidR="0087217B" w:rsidRPr="00967450">
        <w:rPr>
          <w:sz w:val="22"/>
          <w:szCs w:val="22"/>
        </w:rPr>
        <w:t xml:space="preserve">v) </w:t>
      </w:r>
      <w:r w:rsidR="0087217B" w:rsidRPr="00967450">
        <w:rPr>
          <w:i/>
          <w:iCs/>
          <w:sz w:val="22"/>
          <w:szCs w:val="22"/>
        </w:rPr>
        <w:t>acts intended to establish or restore democracy, constitutional government, the rule of law, or to exercise or safeguard human rights</w:t>
      </w:r>
      <w:r w:rsidR="0087217B" w:rsidRPr="00967450">
        <w:rPr>
          <w:sz w:val="22"/>
          <w:szCs w:val="22"/>
        </w:rPr>
        <w:t>.</w:t>
      </w:r>
    </w:p>
    <w:p w14:paraId="4E580EBE" w14:textId="4996DB38" w:rsidR="0087217B" w:rsidRPr="00967450" w:rsidRDefault="00DA357E" w:rsidP="00967450">
      <w:pPr>
        <w:spacing w:before="80" w:after="80"/>
        <w:jc w:val="both"/>
        <w:rPr>
          <w:sz w:val="22"/>
          <w:szCs w:val="22"/>
        </w:rPr>
      </w:pPr>
      <w:r w:rsidRPr="00967450">
        <w:rPr>
          <w:sz w:val="22"/>
          <w:szCs w:val="22"/>
        </w:rPr>
        <w:tab/>
      </w:r>
      <w:r w:rsidR="00EA367F" w:rsidRPr="00967450">
        <w:rPr>
          <w:b/>
          <w:bCs/>
          <w:sz w:val="22"/>
          <w:szCs w:val="22"/>
        </w:rPr>
        <w:t>Harm to property:</w:t>
      </w:r>
      <w:r w:rsidR="00EA367F" w:rsidRPr="00967450">
        <w:rPr>
          <w:sz w:val="22"/>
          <w:szCs w:val="22"/>
        </w:rPr>
        <w:t xml:space="preserve"> </w:t>
      </w:r>
      <w:r w:rsidR="00DA1373" w:rsidRPr="00B50E28">
        <w:rPr>
          <w:sz w:val="22"/>
          <w:szCs w:val="22"/>
        </w:rPr>
        <w:t>T</w:t>
      </w:r>
      <w:r w:rsidRPr="00967450">
        <w:rPr>
          <w:sz w:val="22"/>
          <w:szCs w:val="22"/>
        </w:rPr>
        <w:t>he Special Rapporteur does not recommend including harm to property in the definition of terrorism</w:t>
      </w:r>
      <w:r w:rsidR="00DA1373" w:rsidRPr="00B50E28">
        <w:rPr>
          <w:sz w:val="22"/>
          <w:szCs w:val="22"/>
        </w:rPr>
        <w:t>.</w:t>
      </w:r>
      <w:r w:rsidRPr="00967450">
        <w:rPr>
          <w:sz w:val="22"/>
          <w:szCs w:val="22"/>
        </w:rPr>
        <w:t xml:space="preserve"> </w:t>
      </w:r>
      <w:r w:rsidR="00DA1373" w:rsidRPr="00B50E28">
        <w:rPr>
          <w:sz w:val="22"/>
          <w:szCs w:val="22"/>
        </w:rPr>
        <w:t>W</w:t>
      </w:r>
      <w:r w:rsidRPr="00967450">
        <w:rPr>
          <w:sz w:val="22"/>
          <w:szCs w:val="22"/>
        </w:rPr>
        <w:t xml:space="preserve">here States nonetheless include such elements, he constructively </w:t>
      </w:r>
      <w:r w:rsidR="00FB5C0C" w:rsidRPr="00967450">
        <w:rPr>
          <w:sz w:val="22"/>
          <w:szCs w:val="22"/>
        </w:rPr>
        <w:t>recommends</w:t>
      </w:r>
      <w:r w:rsidRPr="00967450">
        <w:rPr>
          <w:sz w:val="22"/>
          <w:szCs w:val="22"/>
        </w:rPr>
        <w:t xml:space="preserve"> </w:t>
      </w:r>
      <w:r w:rsidR="00C81A27">
        <w:rPr>
          <w:sz w:val="22"/>
          <w:szCs w:val="22"/>
        </w:rPr>
        <w:t>model clauses</w:t>
      </w:r>
      <w:r w:rsidRPr="00967450">
        <w:rPr>
          <w:sz w:val="22"/>
          <w:szCs w:val="22"/>
        </w:rPr>
        <w:t xml:space="preserve"> to ensure such elements </w:t>
      </w:r>
      <w:r w:rsidR="00E1629D" w:rsidRPr="00967450">
        <w:rPr>
          <w:sz w:val="22"/>
          <w:szCs w:val="22"/>
        </w:rPr>
        <w:t>a</w:t>
      </w:r>
      <w:r w:rsidR="0076107F">
        <w:rPr>
          <w:sz w:val="22"/>
          <w:szCs w:val="22"/>
        </w:rPr>
        <w:t xml:space="preserve">re legally certain and </w:t>
      </w:r>
      <w:r w:rsidR="00502C45">
        <w:rPr>
          <w:sz w:val="22"/>
          <w:szCs w:val="22"/>
        </w:rPr>
        <w:t>require</w:t>
      </w:r>
      <w:r w:rsidR="0076107F">
        <w:rPr>
          <w:sz w:val="22"/>
          <w:szCs w:val="22"/>
        </w:rPr>
        <w:t xml:space="preserve"> a </w:t>
      </w:r>
      <w:r w:rsidR="00E1629D" w:rsidRPr="00967450">
        <w:rPr>
          <w:sz w:val="22"/>
          <w:szCs w:val="22"/>
        </w:rPr>
        <w:t>high threshold.</w:t>
      </w:r>
    </w:p>
    <w:p w14:paraId="7C6583C0" w14:textId="48F9F9E8" w:rsidR="0087217B" w:rsidRPr="00967450" w:rsidRDefault="009C5C20" w:rsidP="00967450">
      <w:pPr>
        <w:spacing w:before="80" w:after="80"/>
        <w:jc w:val="both"/>
        <w:rPr>
          <w:sz w:val="22"/>
          <w:szCs w:val="22"/>
        </w:rPr>
      </w:pPr>
      <w:r w:rsidRPr="00967450">
        <w:rPr>
          <w:sz w:val="22"/>
          <w:szCs w:val="22"/>
        </w:rPr>
        <w:tab/>
      </w:r>
      <w:r w:rsidRPr="00967450">
        <w:rPr>
          <w:b/>
          <w:bCs/>
          <w:sz w:val="22"/>
          <w:szCs w:val="22"/>
        </w:rPr>
        <w:t>“State terrorism”:</w:t>
      </w:r>
      <w:r w:rsidRPr="00967450">
        <w:rPr>
          <w:sz w:val="22"/>
          <w:szCs w:val="22"/>
        </w:rPr>
        <w:t xml:space="preserve"> The report and its Annex II discuss how international law applies to </w:t>
      </w:r>
      <w:r w:rsidR="00930F93" w:rsidRPr="00967450">
        <w:rPr>
          <w:sz w:val="22"/>
          <w:szCs w:val="22"/>
        </w:rPr>
        <w:t xml:space="preserve">“State terrorism” and </w:t>
      </w:r>
      <w:r w:rsidR="007037EE">
        <w:rPr>
          <w:sz w:val="22"/>
          <w:szCs w:val="22"/>
        </w:rPr>
        <w:t>“State-sponsored</w:t>
      </w:r>
      <w:r w:rsidR="00930F93" w:rsidRPr="00967450">
        <w:rPr>
          <w:sz w:val="22"/>
          <w:szCs w:val="22"/>
        </w:rPr>
        <w:t xml:space="preserve"> terrorism”. While States and State officials can be responsible for </w:t>
      </w:r>
      <w:r w:rsidR="00D851D5">
        <w:rPr>
          <w:sz w:val="22"/>
          <w:szCs w:val="22"/>
        </w:rPr>
        <w:t>committing or supporting</w:t>
      </w:r>
      <w:r w:rsidR="00930F93" w:rsidRPr="00967450">
        <w:rPr>
          <w:sz w:val="22"/>
          <w:szCs w:val="22"/>
        </w:rPr>
        <w:t xml:space="preserve"> terrorism in certain circumstances, the response of other States must fully respect international law. </w:t>
      </w:r>
    </w:p>
    <w:p w14:paraId="12A03A28" w14:textId="1DD32B04" w:rsidR="00162CA1" w:rsidRPr="00967450" w:rsidRDefault="00162CA1" w:rsidP="005E2A68">
      <w:pPr>
        <w:spacing w:before="120"/>
        <w:rPr>
          <w:b/>
          <w:bCs/>
          <w:sz w:val="22"/>
          <w:szCs w:val="22"/>
        </w:rPr>
      </w:pPr>
      <w:r w:rsidRPr="00967450">
        <w:rPr>
          <w:b/>
          <w:bCs/>
          <w:sz w:val="22"/>
          <w:szCs w:val="22"/>
        </w:rPr>
        <w:t>Questions</w:t>
      </w:r>
    </w:p>
    <w:p w14:paraId="7CDDECF0" w14:textId="6A24A35E" w:rsidR="00162CA1" w:rsidRPr="00967450" w:rsidRDefault="000E5B04" w:rsidP="00074304">
      <w:pPr>
        <w:pStyle w:val="ListParagraph"/>
        <w:numPr>
          <w:ilvl w:val="0"/>
          <w:numId w:val="20"/>
        </w:numPr>
        <w:spacing w:before="120"/>
        <w:jc w:val="both"/>
        <w:rPr>
          <w:sz w:val="22"/>
          <w:szCs w:val="22"/>
        </w:rPr>
      </w:pPr>
      <w:r>
        <w:rPr>
          <w:sz w:val="22"/>
          <w:szCs w:val="22"/>
        </w:rPr>
        <w:t xml:space="preserve">How </w:t>
      </w:r>
      <w:r w:rsidR="00074304">
        <w:rPr>
          <w:sz w:val="22"/>
          <w:szCs w:val="22"/>
        </w:rPr>
        <w:t xml:space="preserve">and why </w:t>
      </w:r>
      <w:r>
        <w:rPr>
          <w:sz w:val="22"/>
          <w:szCs w:val="22"/>
        </w:rPr>
        <w:t>does the model definition differentiate terrorism from other forms of serious violent crime and national security threats</w:t>
      </w:r>
      <w:r w:rsidR="00074304">
        <w:rPr>
          <w:sz w:val="22"/>
          <w:szCs w:val="22"/>
        </w:rPr>
        <w:t xml:space="preserve">, particularly </w:t>
      </w:r>
      <w:r w:rsidR="00B63EF2">
        <w:rPr>
          <w:sz w:val="22"/>
          <w:szCs w:val="22"/>
        </w:rPr>
        <w:t>through</w:t>
      </w:r>
      <w:r w:rsidR="00074304">
        <w:rPr>
          <w:sz w:val="22"/>
          <w:szCs w:val="22"/>
        </w:rPr>
        <w:t xml:space="preserve"> its purpose elements</w:t>
      </w:r>
      <w:r>
        <w:rPr>
          <w:sz w:val="22"/>
          <w:szCs w:val="22"/>
        </w:rPr>
        <w:t>?</w:t>
      </w:r>
    </w:p>
    <w:p w14:paraId="74A672CD" w14:textId="16BA1B43" w:rsidR="00162CA1" w:rsidRPr="00967450" w:rsidRDefault="007D49FD" w:rsidP="00162CA1">
      <w:pPr>
        <w:pStyle w:val="ListParagraph"/>
        <w:numPr>
          <w:ilvl w:val="0"/>
          <w:numId w:val="20"/>
        </w:numPr>
        <w:spacing w:before="120"/>
        <w:rPr>
          <w:sz w:val="22"/>
          <w:szCs w:val="22"/>
        </w:rPr>
      </w:pPr>
      <w:r>
        <w:rPr>
          <w:sz w:val="22"/>
          <w:szCs w:val="22"/>
        </w:rPr>
        <w:t xml:space="preserve">Why is it important to include principled exceptions to the definition of terrorism, and what </w:t>
      </w:r>
      <w:r w:rsidR="00DE48BF">
        <w:rPr>
          <w:sz w:val="22"/>
          <w:szCs w:val="22"/>
        </w:rPr>
        <w:t>exceptions are necessary</w:t>
      </w:r>
      <w:r>
        <w:rPr>
          <w:sz w:val="22"/>
          <w:szCs w:val="22"/>
        </w:rPr>
        <w:t>?</w:t>
      </w:r>
    </w:p>
    <w:p w14:paraId="19C6EAF6" w14:textId="39A9FE81" w:rsidR="00162CA1" w:rsidRPr="00967450" w:rsidRDefault="00731E4E" w:rsidP="00AD449D">
      <w:pPr>
        <w:pStyle w:val="ListParagraph"/>
        <w:numPr>
          <w:ilvl w:val="0"/>
          <w:numId w:val="20"/>
        </w:numPr>
        <w:spacing w:before="120"/>
        <w:jc w:val="both"/>
        <w:rPr>
          <w:sz w:val="22"/>
          <w:szCs w:val="22"/>
        </w:rPr>
      </w:pPr>
      <w:r>
        <w:rPr>
          <w:sz w:val="22"/>
          <w:szCs w:val="22"/>
        </w:rPr>
        <w:t xml:space="preserve">How does the model definition </w:t>
      </w:r>
      <w:r w:rsidR="00AD449D">
        <w:rPr>
          <w:sz w:val="22"/>
          <w:szCs w:val="22"/>
        </w:rPr>
        <w:t xml:space="preserve">objectively </w:t>
      </w:r>
      <w:r w:rsidR="00EA284E">
        <w:rPr>
          <w:sz w:val="22"/>
          <w:szCs w:val="22"/>
        </w:rPr>
        <w:t xml:space="preserve">address issues of so-called </w:t>
      </w:r>
      <w:r w:rsidR="007D0455">
        <w:rPr>
          <w:sz w:val="22"/>
          <w:szCs w:val="22"/>
        </w:rPr>
        <w:t>“</w:t>
      </w:r>
      <w:r w:rsidR="00EA284E">
        <w:rPr>
          <w:sz w:val="22"/>
          <w:szCs w:val="22"/>
        </w:rPr>
        <w:t xml:space="preserve">State </w:t>
      </w:r>
      <w:r w:rsidR="007D0455">
        <w:rPr>
          <w:sz w:val="22"/>
          <w:szCs w:val="22"/>
        </w:rPr>
        <w:t>terrorism” or “State</w:t>
      </w:r>
      <w:r w:rsidR="007037EE">
        <w:rPr>
          <w:sz w:val="22"/>
          <w:szCs w:val="22"/>
        </w:rPr>
        <w:t>-</w:t>
      </w:r>
      <w:r w:rsidR="007D0455">
        <w:rPr>
          <w:sz w:val="22"/>
          <w:szCs w:val="22"/>
        </w:rPr>
        <w:t xml:space="preserve">sponsored terrorism”, </w:t>
      </w:r>
      <w:r w:rsidR="00AD449D">
        <w:rPr>
          <w:sz w:val="22"/>
          <w:szCs w:val="22"/>
        </w:rPr>
        <w:t xml:space="preserve">while avoiding </w:t>
      </w:r>
      <w:r w:rsidR="00C46AFC">
        <w:rPr>
          <w:sz w:val="22"/>
          <w:szCs w:val="22"/>
        </w:rPr>
        <w:t>the politicization surrounding these issues?</w:t>
      </w:r>
    </w:p>
    <w:p w14:paraId="4D83617F" w14:textId="77777777" w:rsidR="00162CA1" w:rsidRPr="00967450" w:rsidRDefault="00162CA1" w:rsidP="005E2A68">
      <w:pPr>
        <w:spacing w:before="120"/>
        <w:rPr>
          <w:sz w:val="22"/>
          <w:szCs w:val="22"/>
        </w:rPr>
      </w:pPr>
    </w:p>
    <w:sectPr w:rsidR="00162CA1" w:rsidRPr="00967450" w:rsidSect="009F6983">
      <w:pgSz w:w="11907" w:h="16840" w:code="9"/>
      <w:pgMar w:top="1247" w:right="1531" w:bottom="1247"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CA0AF" w14:textId="77777777" w:rsidR="007669DB" w:rsidRDefault="007669DB">
      <w:r>
        <w:separator/>
      </w:r>
    </w:p>
  </w:endnote>
  <w:endnote w:type="continuationSeparator" w:id="0">
    <w:p w14:paraId="156DC745" w14:textId="77777777" w:rsidR="007669DB" w:rsidRDefault="00766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22D5B" w14:textId="77777777" w:rsidR="007669DB" w:rsidRDefault="007669DB">
      <w:r>
        <w:separator/>
      </w:r>
    </w:p>
  </w:footnote>
  <w:footnote w:type="continuationSeparator" w:id="0">
    <w:p w14:paraId="6724FB18" w14:textId="77777777" w:rsidR="007669DB" w:rsidRDefault="00766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60BE"/>
    <w:multiLevelType w:val="hybridMultilevel"/>
    <w:tmpl w:val="295891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CC6B65"/>
    <w:multiLevelType w:val="multilevel"/>
    <w:tmpl w:val="988A7D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0D7D0D"/>
    <w:multiLevelType w:val="hybridMultilevel"/>
    <w:tmpl w:val="78F4B1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962EF3"/>
    <w:multiLevelType w:val="hybridMultilevel"/>
    <w:tmpl w:val="5024C8C2"/>
    <w:lvl w:ilvl="0" w:tplc="3252E142">
      <w:start w:val="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C1505B6"/>
    <w:multiLevelType w:val="hybridMultilevel"/>
    <w:tmpl w:val="BC021B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4C47E1"/>
    <w:multiLevelType w:val="hybridMultilevel"/>
    <w:tmpl w:val="9D2C529C"/>
    <w:lvl w:ilvl="0" w:tplc="1B7A660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85636E2"/>
    <w:multiLevelType w:val="hybridMultilevel"/>
    <w:tmpl w:val="5240FC3C"/>
    <w:lvl w:ilvl="0" w:tplc="1A800FD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0E0024"/>
    <w:multiLevelType w:val="hybridMultilevel"/>
    <w:tmpl w:val="0BC2858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3CF71E10"/>
    <w:multiLevelType w:val="hybridMultilevel"/>
    <w:tmpl w:val="15A25E8C"/>
    <w:lvl w:ilvl="0" w:tplc="C8841CC4">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6852DE"/>
    <w:multiLevelType w:val="hybridMultilevel"/>
    <w:tmpl w:val="6F4299B2"/>
    <w:lvl w:ilvl="0" w:tplc="6DA0F56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F00424"/>
    <w:multiLevelType w:val="hybridMultilevel"/>
    <w:tmpl w:val="3A729B32"/>
    <w:lvl w:ilvl="0" w:tplc="FCD89BD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BD39FC"/>
    <w:multiLevelType w:val="hybridMultilevel"/>
    <w:tmpl w:val="549C6CF0"/>
    <w:lvl w:ilvl="0" w:tplc="CBA61DD8">
      <w:start w:val="1"/>
      <w:numFmt w:val="decimal"/>
      <w:lvlText w:val="%1."/>
      <w:lvlJc w:val="left"/>
      <w:pPr>
        <w:ind w:left="1495" w:hanging="360"/>
      </w:pPr>
    </w:lvl>
    <w:lvl w:ilvl="1" w:tplc="041F0019">
      <w:start w:val="1"/>
      <w:numFmt w:val="lowerLetter"/>
      <w:lvlText w:val="%2."/>
      <w:lvlJc w:val="left"/>
      <w:pPr>
        <w:ind w:left="2215" w:hanging="360"/>
      </w:pPr>
    </w:lvl>
    <w:lvl w:ilvl="2" w:tplc="041F001B">
      <w:start w:val="1"/>
      <w:numFmt w:val="lowerRoman"/>
      <w:lvlText w:val="%3."/>
      <w:lvlJc w:val="right"/>
      <w:pPr>
        <w:ind w:left="2935" w:hanging="180"/>
      </w:pPr>
    </w:lvl>
    <w:lvl w:ilvl="3" w:tplc="041F000F">
      <w:start w:val="1"/>
      <w:numFmt w:val="decimal"/>
      <w:lvlText w:val="%4."/>
      <w:lvlJc w:val="left"/>
      <w:pPr>
        <w:ind w:left="3655" w:hanging="360"/>
      </w:pPr>
    </w:lvl>
    <w:lvl w:ilvl="4" w:tplc="041F0019">
      <w:start w:val="1"/>
      <w:numFmt w:val="lowerLetter"/>
      <w:lvlText w:val="%5."/>
      <w:lvlJc w:val="left"/>
      <w:pPr>
        <w:ind w:left="4375" w:hanging="360"/>
      </w:pPr>
    </w:lvl>
    <w:lvl w:ilvl="5" w:tplc="041F001B">
      <w:start w:val="1"/>
      <w:numFmt w:val="lowerRoman"/>
      <w:lvlText w:val="%6."/>
      <w:lvlJc w:val="right"/>
      <w:pPr>
        <w:ind w:left="5095" w:hanging="180"/>
      </w:pPr>
    </w:lvl>
    <w:lvl w:ilvl="6" w:tplc="041F000F">
      <w:start w:val="1"/>
      <w:numFmt w:val="decimal"/>
      <w:lvlText w:val="%7."/>
      <w:lvlJc w:val="left"/>
      <w:pPr>
        <w:ind w:left="5815" w:hanging="360"/>
      </w:pPr>
    </w:lvl>
    <w:lvl w:ilvl="7" w:tplc="041F0019">
      <w:start w:val="1"/>
      <w:numFmt w:val="lowerLetter"/>
      <w:lvlText w:val="%8."/>
      <w:lvlJc w:val="left"/>
      <w:pPr>
        <w:ind w:left="6535" w:hanging="360"/>
      </w:pPr>
    </w:lvl>
    <w:lvl w:ilvl="8" w:tplc="041F001B">
      <w:start w:val="1"/>
      <w:numFmt w:val="lowerRoman"/>
      <w:lvlText w:val="%9."/>
      <w:lvlJc w:val="right"/>
      <w:pPr>
        <w:ind w:left="7255" w:hanging="180"/>
      </w:pPr>
    </w:lvl>
  </w:abstractNum>
  <w:abstractNum w:abstractNumId="12" w15:restartNumberingAfterBreak="0">
    <w:nsid w:val="53397F78"/>
    <w:multiLevelType w:val="hybridMultilevel"/>
    <w:tmpl w:val="DAF0C5EC"/>
    <w:lvl w:ilvl="0" w:tplc="9658469C">
      <w:start w:val="1"/>
      <w:numFmt w:val="lowerLetter"/>
      <w:lvlText w:val="%1)"/>
      <w:lvlJc w:val="left"/>
      <w:pPr>
        <w:ind w:left="1854" w:hanging="360"/>
      </w:pPr>
      <w:rPr>
        <w:rFonts w:ascii="Times New Roman" w:eastAsia="Times New Roman" w:hAnsi="Times New Roman" w:cs="Times New Roman"/>
        <w:b w:val="0"/>
        <w:bCs w:val="0"/>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13" w15:restartNumberingAfterBreak="0">
    <w:nsid w:val="580B537C"/>
    <w:multiLevelType w:val="hybridMultilevel"/>
    <w:tmpl w:val="41A6D4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2AC259C"/>
    <w:multiLevelType w:val="multilevel"/>
    <w:tmpl w:val="35AEA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7F531C"/>
    <w:multiLevelType w:val="hybridMultilevel"/>
    <w:tmpl w:val="640207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F722B1E"/>
    <w:multiLevelType w:val="hybridMultilevel"/>
    <w:tmpl w:val="B8287F14"/>
    <w:lvl w:ilvl="0" w:tplc="D5F84806">
      <w:start w:val="1"/>
      <w:numFmt w:val="decimal"/>
      <w:lvlText w:val="%1."/>
      <w:lvlJc w:val="left"/>
      <w:pPr>
        <w:tabs>
          <w:tab w:val="num" w:pos="1494"/>
        </w:tabs>
        <w:ind w:left="1134" w:firstLine="0"/>
      </w:pPr>
      <w:rPr>
        <w:rFonts w:ascii="Times New Roman" w:hAnsi="Times New Roman" w:cs="Times New Roman"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17" w15:restartNumberingAfterBreak="0">
    <w:nsid w:val="766731B3"/>
    <w:multiLevelType w:val="hybridMultilevel"/>
    <w:tmpl w:val="039CE2F6"/>
    <w:lvl w:ilvl="0" w:tplc="BE6235AA">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8" w15:restartNumberingAfterBreak="0">
    <w:nsid w:val="7B7A4254"/>
    <w:multiLevelType w:val="hybridMultilevel"/>
    <w:tmpl w:val="ECAAE4A6"/>
    <w:lvl w:ilvl="0" w:tplc="E5326390">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9" w15:restartNumberingAfterBreak="0">
    <w:nsid w:val="7E6712BD"/>
    <w:multiLevelType w:val="hybridMultilevel"/>
    <w:tmpl w:val="09B25D0A"/>
    <w:lvl w:ilvl="0" w:tplc="996429AC">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16cid:durableId="1014577405">
    <w:abstractNumId w:val="19"/>
  </w:num>
  <w:num w:numId="2" w16cid:durableId="262609840">
    <w:abstractNumId w:val="18"/>
  </w:num>
  <w:num w:numId="3" w16cid:durableId="1841702416">
    <w:abstractNumId w:val="9"/>
  </w:num>
  <w:num w:numId="4" w16cid:durableId="2122139680">
    <w:abstractNumId w:val="16"/>
  </w:num>
  <w:num w:numId="5" w16cid:durableId="1252347532">
    <w:abstractNumId w:val="10"/>
  </w:num>
  <w:num w:numId="6" w16cid:durableId="353460367">
    <w:abstractNumId w:val="15"/>
  </w:num>
  <w:num w:numId="7" w16cid:durableId="3744297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3888269">
    <w:abstractNumId w:val="5"/>
  </w:num>
  <w:num w:numId="9" w16cid:durableId="2031174377">
    <w:abstractNumId w:val="7"/>
  </w:num>
  <w:num w:numId="10" w16cid:durableId="599995513">
    <w:abstractNumId w:val="0"/>
  </w:num>
  <w:num w:numId="11" w16cid:durableId="1279147492">
    <w:abstractNumId w:val="13"/>
  </w:num>
  <w:num w:numId="12" w16cid:durableId="248781507">
    <w:abstractNumId w:val="6"/>
  </w:num>
  <w:num w:numId="13" w16cid:durableId="962034895">
    <w:abstractNumId w:val="17"/>
  </w:num>
  <w:num w:numId="14" w16cid:durableId="1015305075">
    <w:abstractNumId w:val="3"/>
  </w:num>
  <w:num w:numId="15" w16cid:durableId="630213889">
    <w:abstractNumId w:val="12"/>
  </w:num>
  <w:num w:numId="16" w16cid:durableId="327370118">
    <w:abstractNumId w:val="14"/>
  </w:num>
  <w:num w:numId="17" w16cid:durableId="1732852168">
    <w:abstractNumId w:val="1"/>
  </w:num>
  <w:num w:numId="18" w16cid:durableId="1113937077">
    <w:abstractNumId w:val="8"/>
  </w:num>
  <w:num w:numId="19" w16cid:durableId="983660179">
    <w:abstractNumId w:val="2"/>
  </w:num>
  <w:num w:numId="20" w16cid:durableId="1976251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83"/>
    <w:rsid w:val="000008EC"/>
    <w:rsid w:val="00002CDF"/>
    <w:rsid w:val="00003D50"/>
    <w:rsid w:val="00007673"/>
    <w:rsid w:val="00015C43"/>
    <w:rsid w:val="0003351A"/>
    <w:rsid w:val="000337E4"/>
    <w:rsid w:val="000417E2"/>
    <w:rsid w:val="00046173"/>
    <w:rsid w:val="00052766"/>
    <w:rsid w:val="00055F4F"/>
    <w:rsid w:val="00056AC9"/>
    <w:rsid w:val="00062B21"/>
    <w:rsid w:val="000638FF"/>
    <w:rsid w:val="0006715E"/>
    <w:rsid w:val="00074304"/>
    <w:rsid w:val="00074C15"/>
    <w:rsid w:val="000815F1"/>
    <w:rsid w:val="00084FED"/>
    <w:rsid w:val="00097A16"/>
    <w:rsid w:val="000A45B1"/>
    <w:rsid w:val="000B1E87"/>
    <w:rsid w:val="000C62AB"/>
    <w:rsid w:val="000D09F5"/>
    <w:rsid w:val="000D66C7"/>
    <w:rsid w:val="000E5B04"/>
    <w:rsid w:val="000E71F2"/>
    <w:rsid w:val="000E7D7B"/>
    <w:rsid w:val="001016FF"/>
    <w:rsid w:val="001039AE"/>
    <w:rsid w:val="00107A59"/>
    <w:rsid w:val="00111CB1"/>
    <w:rsid w:val="0011330C"/>
    <w:rsid w:val="001135EA"/>
    <w:rsid w:val="00115929"/>
    <w:rsid w:val="00122FE9"/>
    <w:rsid w:val="00124342"/>
    <w:rsid w:val="00132ADC"/>
    <w:rsid w:val="00153973"/>
    <w:rsid w:val="00160BB5"/>
    <w:rsid w:val="00162CA1"/>
    <w:rsid w:val="0017220E"/>
    <w:rsid w:val="0017743E"/>
    <w:rsid w:val="00177D03"/>
    <w:rsid w:val="00183A8C"/>
    <w:rsid w:val="00183EAB"/>
    <w:rsid w:val="0019706D"/>
    <w:rsid w:val="001A1970"/>
    <w:rsid w:val="001D17A5"/>
    <w:rsid w:val="001D7A88"/>
    <w:rsid w:val="001E04B1"/>
    <w:rsid w:val="001E539D"/>
    <w:rsid w:val="001F03AC"/>
    <w:rsid w:val="001F1185"/>
    <w:rsid w:val="001F1EE6"/>
    <w:rsid w:val="001F414A"/>
    <w:rsid w:val="001F6EF8"/>
    <w:rsid w:val="002043B0"/>
    <w:rsid w:val="00212468"/>
    <w:rsid w:val="00244D65"/>
    <w:rsid w:val="00250B23"/>
    <w:rsid w:val="00251757"/>
    <w:rsid w:val="002568CD"/>
    <w:rsid w:val="00257CCF"/>
    <w:rsid w:val="002A0068"/>
    <w:rsid w:val="002B35D7"/>
    <w:rsid w:val="002B531F"/>
    <w:rsid w:val="002B7ED2"/>
    <w:rsid w:val="002C0A74"/>
    <w:rsid w:val="002C46A5"/>
    <w:rsid w:val="002E154C"/>
    <w:rsid w:val="002E55DF"/>
    <w:rsid w:val="002E796A"/>
    <w:rsid w:val="002F2AB1"/>
    <w:rsid w:val="002F52F7"/>
    <w:rsid w:val="002F536B"/>
    <w:rsid w:val="00300989"/>
    <w:rsid w:val="00314385"/>
    <w:rsid w:val="0031764E"/>
    <w:rsid w:val="00325726"/>
    <w:rsid w:val="00325F20"/>
    <w:rsid w:val="00350303"/>
    <w:rsid w:val="00354F61"/>
    <w:rsid w:val="003557D6"/>
    <w:rsid w:val="00364BB6"/>
    <w:rsid w:val="003711FC"/>
    <w:rsid w:val="003808C4"/>
    <w:rsid w:val="00390DDB"/>
    <w:rsid w:val="00392AEA"/>
    <w:rsid w:val="00393227"/>
    <w:rsid w:val="00394860"/>
    <w:rsid w:val="003A5C61"/>
    <w:rsid w:val="003C0220"/>
    <w:rsid w:val="003D2E41"/>
    <w:rsid w:val="003E0EEE"/>
    <w:rsid w:val="00401C98"/>
    <w:rsid w:val="00405F7A"/>
    <w:rsid w:val="00426238"/>
    <w:rsid w:val="00440662"/>
    <w:rsid w:val="00456F9F"/>
    <w:rsid w:val="00457A25"/>
    <w:rsid w:val="004605B4"/>
    <w:rsid w:val="004644AA"/>
    <w:rsid w:val="00466D8D"/>
    <w:rsid w:val="00466DFC"/>
    <w:rsid w:val="00474672"/>
    <w:rsid w:val="004746A8"/>
    <w:rsid w:val="00474886"/>
    <w:rsid w:val="004931F0"/>
    <w:rsid w:val="00497CCE"/>
    <w:rsid w:val="004B0A2D"/>
    <w:rsid w:val="004B2556"/>
    <w:rsid w:val="004B3876"/>
    <w:rsid w:val="004D3A38"/>
    <w:rsid w:val="004D7C7B"/>
    <w:rsid w:val="004E3FC1"/>
    <w:rsid w:val="00501930"/>
    <w:rsid w:val="00502C45"/>
    <w:rsid w:val="005079D4"/>
    <w:rsid w:val="00507DAF"/>
    <w:rsid w:val="00523459"/>
    <w:rsid w:val="00531A84"/>
    <w:rsid w:val="00543F51"/>
    <w:rsid w:val="00556701"/>
    <w:rsid w:val="0056384A"/>
    <w:rsid w:val="00573576"/>
    <w:rsid w:val="0058469F"/>
    <w:rsid w:val="0058478F"/>
    <w:rsid w:val="0059011E"/>
    <w:rsid w:val="00590CFB"/>
    <w:rsid w:val="00596483"/>
    <w:rsid w:val="005A0799"/>
    <w:rsid w:val="005A61B7"/>
    <w:rsid w:val="005B086F"/>
    <w:rsid w:val="005B5FD9"/>
    <w:rsid w:val="005C03E5"/>
    <w:rsid w:val="005C49CB"/>
    <w:rsid w:val="005C62A4"/>
    <w:rsid w:val="005D1802"/>
    <w:rsid w:val="005D3D23"/>
    <w:rsid w:val="005E2A68"/>
    <w:rsid w:val="005E2BC6"/>
    <w:rsid w:val="00607D5D"/>
    <w:rsid w:val="0061517E"/>
    <w:rsid w:val="00616805"/>
    <w:rsid w:val="00624C36"/>
    <w:rsid w:val="006274FF"/>
    <w:rsid w:val="00634C96"/>
    <w:rsid w:val="00666EA3"/>
    <w:rsid w:val="006814D2"/>
    <w:rsid w:val="006945CC"/>
    <w:rsid w:val="006952A7"/>
    <w:rsid w:val="006979F4"/>
    <w:rsid w:val="006A1CB8"/>
    <w:rsid w:val="006C02C6"/>
    <w:rsid w:val="006C10F5"/>
    <w:rsid w:val="006C53E4"/>
    <w:rsid w:val="006D061D"/>
    <w:rsid w:val="006D6485"/>
    <w:rsid w:val="006E46C2"/>
    <w:rsid w:val="006F265A"/>
    <w:rsid w:val="006F3B6E"/>
    <w:rsid w:val="006F789C"/>
    <w:rsid w:val="00700075"/>
    <w:rsid w:val="007037EE"/>
    <w:rsid w:val="00703C1E"/>
    <w:rsid w:val="00720E76"/>
    <w:rsid w:val="007252BD"/>
    <w:rsid w:val="00727784"/>
    <w:rsid w:val="00731E4E"/>
    <w:rsid w:val="0073655B"/>
    <w:rsid w:val="0074197A"/>
    <w:rsid w:val="0076107F"/>
    <w:rsid w:val="007669DB"/>
    <w:rsid w:val="00771ACA"/>
    <w:rsid w:val="00772925"/>
    <w:rsid w:val="00776277"/>
    <w:rsid w:val="007D0455"/>
    <w:rsid w:val="007D49FD"/>
    <w:rsid w:val="007E42F4"/>
    <w:rsid w:val="00807198"/>
    <w:rsid w:val="00823981"/>
    <w:rsid w:val="008276FC"/>
    <w:rsid w:val="00831DAA"/>
    <w:rsid w:val="00842822"/>
    <w:rsid w:val="00851D29"/>
    <w:rsid w:val="00853ED6"/>
    <w:rsid w:val="00854D88"/>
    <w:rsid w:val="0086150C"/>
    <w:rsid w:val="00863E54"/>
    <w:rsid w:val="00870080"/>
    <w:rsid w:val="0087217B"/>
    <w:rsid w:val="008770CE"/>
    <w:rsid w:val="00877AE5"/>
    <w:rsid w:val="00881B7A"/>
    <w:rsid w:val="00887D35"/>
    <w:rsid w:val="00890BD8"/>
    <w:rsid w:val="008B0328"/>
    <w:rsid w:val="008B4B38"/>
    <w:rsid w:val="008B4FE7"/>
    <w:rsid w:val="008C503A"/>
    <w:rsid w:val="008D1F19"/>
    <w:rsid w:val="008D5EA5"/>
    <w:rsid w:val="008E425B"/>
    <w:rsid w:val="008F5CA1"/>
    <w:rsid w:val="00913D83"/>
    <w:rsid w:val="00913F79"/>
    <w:rsid w:val="009150D0"/>
    <w:rsid w:val="00930F93"/>
    <w:rsid w:val="00932CA4"/>
    <w:rsid w:val="0093733B"/>
    <w:rsid w:val="0094521E"/>
    <w:rsid w:val="009641A6"/>
    <w:rsid w:val="00967450"/>
    <w:rsid w:val="0097022D"/>
    <w:rsid w:val="00983F2E"/>
    <w:rsid w:val="00985F44"/>
    <w:rsid w:val="0099181F"/>
    <w:rsid w:val="0099380B"/>
    <w:rsid w:val="0099636A"/>
    <w:rsid w:val="009B76F7"/>
    <w:rsid w:val="009C4E8F"/>
    <w:rsid w:val="009C5C20"/>
    <w:rsid w:val="009D2AA7"/>
    <w:rsid w:val="009E2A86"/>
    <w:rsid w:val="009E5D7D"/>
    <w:rsid w:val="009F41ED"/>
    <w:rsid w:val="009F5CCA"/>
    <w:rsid w:val="009F6983"/>
    <w:rsid w:val="00A11FF9"/>
    <w:rsid w:val="00A2266B"/>
    <w:rsid w:val="00A322FC"/>
    <w:rsid w:val="00A34DA3"/>
    <w:rsid w:val="00A42304"/>
    <w:rsid w:val="00A4290E"/>
    <w:rsid w:val="00A531DE"/>
    <w:rsid w:val="00A544C7"/>
    <w:rsid w:val="00A548B8"/>
    <w:rsid w:val="00A54FAD"/>
    <w:rsid w:val="00A57AAD"/>
    <w:rsid w:val="00A61701"/>
    <w:rsid w:val="00A74030"/>
    <w:rsid w:val="00A74AF4"/>
    <w:rsid w:val="00A83F82"/>
    <w:rsid w:val="00A9269F"/>
    <w:rsid w:val="00A956EA"/>
    <w:rsid w:val="00A962F0"/>
    <w:rsid w:val="00AB116E"/>
    <w:rsid w:val="00AB65E4"/>
    <w:rsid w:val="00AD071E"/>
    <w:rsid w:val="00AD449D"/>
    <w:rsid w:val="00B045C9"/>
    <w:rsid w:val="00B113F7"/>
    <w:rsid w:val="00B124DD"/>
    <w:rsid w:val="00B20260"/>
    <w:rsid w:val="00B23F3C"/>
    <w:rsid w:val="00B27D13"/>
    <w:rsid w:val="00B33413"/>
    <w:rsid w:val="00B34069"/>
    <w:rsid w:val="00B43D63"/>
    <w:rsid w:val="00B4776D"/>
    <w:rsid w:val="00B50E28"/>
    <w:rsid w:val="00B57322"/>
    <w:rsid w:val="00B61627"/>
    <w:rsid w:val="00B63EF2"/>
    <w:rsid w:val="00B73B1D"/>
    <w:rsid w:val="00B75063"/>
    <w:rsid w:val="00B75403"/>
    <w:rsid w:val="00B76333"/>
    <w:rsid w:val="00B76AF3"/>
    <w:rsid w:val="00B843CE"/>
    <w:rsid w:val="00B84B1A"/>
    <w:rsid w:val="00B872B8"/>
    <w:rsid w:val="00B925FA"/>
    <w:rsid w:val="00B93899"/>
    <w:rsid w:val="00B93D6F"/>
    <w:rsid w:val="00B94C21"/>
    <w:rsid w:val="00BA590C"/>
    <w:rsid w:val="00BC0537"/>
    <w:rsid w:val="00BC4DA0"/>
    <w:rsid w:val="00BD2213"/>
    <w:rsid w:val="00BD59CF"/>
    <w:rsid w:val="00BE12E6"/>
    <w:rsid w:val="00BE3C2B"/>
    <w:rsid w:val="00BE5ABF"/>
    <w:rsid w:val="00BE7FA2"/>
    <w:rsid w:val="00C06B9A"/>
    <w:rsid w:val="00C30B37"/>
    <w:rsid w:val="00C400BC"/>
    <w:rsid w:val="00C40E0C"/>
    <w:rsid w:val="00C45F5B"/>
    <w:rsid w:val="00C46AFC"/>
    <w:rsid w:val="00C577E7"/>
    <w:rsid w:val="00C6644E"/>
    <w:rsid w:val="00C71FD3"/>
    <w:rsid w:val="00C7280C"/>
    <w:rsid w:val="00C81453"/>
    <w:rsid w:val="00C81A27"/>
    <w:rsid w:val="00C9695D"/>
    <w:rsid w:val="00C974C9"/>
    <w:rsid w:val="00CA2E26"/>
    <w:rsid w:val="00CA30F0"/>
    <w:rsid w:val="00CB2531"/>
    <w:rsid w:val="00CB31FE"/>
    <w:rsid w:val="00CB67D7"/>
    <w:rsid w:val="00CD018F"/>
    <w:rsid w:val="00CE2172"/>
    <w:rsid w:val="00CE227E"/>
    <w:rsid w:val="00CF1E5F"/>
    <w:rsid w:val="00CF4FBD"/>
    <w:rsid w:val="00D031EB"/>
    <w:rsid w:val="00D074DD"/>
    <w:rsid w:val="00D07A8D"/>
    <w:rsid w:val="00D104FB"/>
    <w:rsid w:val="00D15C89"/>
    <w:rsid w:val="00D27498"/>
    <w:rsid w:val="00D528AA"/>
    <w:rsid w:val="00D556DC"/>
    <w:rsid w:val="00D63233"/>
    <w:rsid w:val="00D643C7"/>
    <w:rsid w:val="00D67562"/>
    <w:rsid w:val="00D718B3"/>
    <w:rsid w:val="00D73963"/>
    <w:rsid w:val="00D746C4"/>
    <w:rsid w:val="00D851D5"/>
    <w:rsid w:val="00D87D87"/>
    <w:rsid w:val="00D93A7F"/>
    <w:rsid w:val="00D94ED3"/>
    <w:rsid w:val="00DA1373"/>
    <w:rsid w:val="00DA357E"/>
    <w:rsid w:val="00DA4464"/>
    <w:rsid w:val="00DB0E4D"/>
    <w:rsid w:val="00DD3720"/>
    <w:rsid w:val="00DE48BF"/>
    <w:rsid w:val="00DF0E31"/>
    <w:rsid w:val="00DF1489"/>
    <w:rsid w:val="00DF2C7D"/>
    <w:rsid w:val="00E05976"/>
    <w:rsid w:val="00E05AE4"/>
    <w:rsid w:val="00E1629D"/>
    <w:rsid w:val="00E31296"/>
    <w:rsid w:val="00E40894"/>
    <w:rsid w:val="00E63471"/>
    <w:rsid w:val="00E63B0E"/>
    <w:rsid w:val="00E705DB"/>
    <w:rsid w:val="00E707CE"/>
    <w:rsid w:val="00E844A6"/>
    <w:rsid w:val="00E97CBE"/>
    <w:rsid w:val="00EA284E"/>
    <w:rsid w:val="00EA367F"/>
    <w:rsid w:val="00EB672A"/>
    <w:rsid w:val="00EC14AB"/>
    <w:rsid w:val="00EC2FF3"/>
    <w:rsid w:val="00EC312C"/>
    <w:rsid w:val="00ED60CF"/>
    <w:rsid w:val="00EE0338"/>
    <w:rsid w:val="00EE37A1"/>
    <w:rsid w:val="00EF4D62"/>
    <w:rsid w:val="00EF7B13"/>
    <w:rsid w:val="00F0070C"/>
    <w:rsid w:val="00F231FC"/>
    <w:rsid w:val="00F578E5"/>
    <w:rsid w:val="00F632FA"/>
    <w:rsid w:val="00F805AC"/>
    <w:rsid w:val="00F84C53"/>
    <w:rsid w:val="00F92F3A"/>
    <w:rsid w:val="00F95ABA"/>
    <w:rsid w:val="00FA1B1D"/>
    <w:rsid w:val="00FB5C0C"/>
    <w:rsid w:val="00FB726A"/>
    <w:rsid w:val="00FC0B3F"/>
    <w:rsid w:val="00FC5BD9"/>
    <w:rsid w:val="00FC71AF"/>
    <w:rsid w:val="00FD0B39"/>
    <w:rsid w:val="00FD3709"/>
    <w:rsid w:val="00FD68D8"/>
    <w:rsid w:val="00FD7328"/>
    <w:rsid w:val="00FE1010"/>
    <w:rsid w:val="00FF07FC"/>
    <w:rsid w:val="00FF3032"/>
    <w:rsid w:val="00FF3C6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8C62B1"/>
  <w15:chartTrackingRefBased/>
  <w15:docId w15:val="{4B5F4ECC-279B-42A2-BAEA-DFBD26A8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6983"/>
    <w:rPr>
      <w:rFonts w:eastAsia="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9380B"/>
    <w:rPr>
      <w:rFonts w:ascii="Tahoma" w:hAnsi="Tahoma" w:cs="Tahoma"/>
      <w:sz w:val="16"/>
      <w:szCs w:val="16"/>
    </w:rPr>
  </w:style>
  <w:style w:type="character" w:customStyle="1" w:styleId="BalloonTextChar">
    <w:name w:val="Balloon Text Char"/>
    <w:link w:val="BalloonText"/>
    <w:rsid w:val="0099380B"/>
    <w:rPr>
      <w:rFonts w:ascii="Tahoma" w:eastAsia="Times New Roman" w:hAnsi="Tahoma" w:cs="Tahoma"/>
      <w:sz w:val="16"/>
      <w:szCs w:val="16"/>
      <w:lang w:val="en-US" w:eastAsia="en-US"/>
    </w:rPr>
  </w:style>
  <w:style w:type="character" w:styleId="CommentReference">
    <w:name w:val="annotation reference"/>
    <w:uiPriority w:val="99"/>
    <w:rsid w:val="0099380B"/>
    <w:rPr>
      <w:sz w:val="16"/>
      <w:szCs w:val="16"/>
    </w:rPr>
  </w:style>
  <w:style w:type="paragraph" w:styleId="CommentText">
    <w:name w:val="annotation text"/>
    <w:basedOn w:val="Normal"/>
    <w:link w:val="CommentTextChar"/>
    <w:rsid w:val="0099380B"/>
    <w:rPr>
      <w:sz w:val="20"/>
      <w:szCs w:val="20"/>
    </w:rPr>
  </w:style>
  <w:style w:type="character" w:customStyle="1" w:styleId="CommentTextChar">
    <w:name w:val="Comment Text Char"/>
    <w:link w:val="CommentText"/>
    <w:rsid w:val="0099380B"/>
    <w:rPr>
      <w:rFonts w:eastAsia="Times New Roman"/>
      <w:lang w:val="en-US" w:eastAsia="en-US"/>
    </w:rPr>
  </w:style>
  <w:style w:type="paragraph" w:styleId="CommentSubject">
    <w:name w:val="annotation subject"/>
    <w:basedOn w:val="CommentText"/>
    <w:next w:val="CommentText"/>
    <w:link w:val="CommentSubjectChar"/>
    <w:rsid w:val="0099380B"/>
    <w:rPr>
      <w:b/>
      <w:bCs/>
    </w:rPr>
  </w:style>
  <w:style w:type="character" w:customStyle="1" w:styleId="CommentSubjectChar">
    <w:name w:val="Comment Subject Char"/>
    <w:link w:val="CommentSubject"/>
    <w:rsid w:val="0099380B"/>
    <w:rPr>
      <w:rFonts w:eastAsia="Times New Roman"/>
      <w:b/>
      <w:bCs/>
      <w:lang w:val="en-US" w:eastAsia="en-US"/>
    </w:rPr>
  </w:style>
  <w:style w:type="paragraph" w:customStyle="1" w:styleId="SingleTxtG">
    <w:name w:val="_ Single Txt_G"/>
    <w:basedOn w:val="Normal"/>
    <w:link w:val="SingleTxtGChar"/>
    <w:qFormat/>
    <w:rsid w:val="001135EA"/>
    <w:pPr>
      <w:suppressAutoHyphens/>
      <w:spacing w:after="120" w:line="240" w:lineRule="atLeast"/>
      <w:ind w:left="1134" w:right="1134"/>
      <w:jc w:val="both"/>
    </w:pPr>
    <w:rPr>
      <w:sz w:val="20"/>
      <w:szCs w:val="20"/>
      <w:lang w:val="en-GB"/>
    </w:rPr>
  </w:style>
  <w:style w:type="character" w:customStyle="1" w:styleId="SingleTxtGChar">
    <w:name w:val="_ Single Txt_G Char"/>
    <w:link w:val="SingleTxtG"/>
    <w:rsid w:val="001135EA"/>
    <w:rPr>
      <w:rFonts w:eastAsia="Times New Roman"/>
      <w:lang w:eastAsia="en-US"/>
    </w:rPr>
  </w:style>
  <w:style w:type="paragraph" w:styleId="ListParagraph">
    <w:name w:val="List Paragraph"/>
    <w:basedOn w:val="Normal"/>
    <w:uiPriority w:val="34"/>
    <w:qFormat/>
    <w:rsid w:val="0074197A"/>
    <w:pPr>
      <w:ind w:left="720"/>
    </w:pPr>
  </w:style>
  <w:style w:type="paragraph" w:styleId="FootnoteText">
    <w:name w:val="footnote text"/>
    <w:aliases w:val="5_G,Footnote Text Char Char Char Char Char Char,Footnote Text Char Char Char Char Char,FA,FA Fußnotentext,Footnote Text Char Char Char Char,Footnote Text Char Char,Footnote,Footnote Text Char1 Char3,Footnote Text Char Char Char,F,p,stile 1"/>
    <w:basedOn w:val="Normal"/>
    <w:link w:val="FootnoteTextChar"/>
    <w:uiPriority w:val="99"/>
    <w:qFormat/>
    <w:rsid w:val="002F536B"/>
    <w:rPr>
      <w:sz w:val="20"/>
      <w:szCs w:val="20"/>
    </w:rPr>
  </w:style>
  <w:style w:type="character" w:customStyle="1" w:styleId="FootnoteTextChar">
    <w:name w:val="Footnote Text Char"/>
    <w:aliases w:val="5_G Char,Footnote Text Char Char Char Char Char Char Char,Footnote Text Char Char Char Char Char Char1,FA Char,FA Fußnotentext Char,Footnote Text Char Char Char Char Char1,Footnote Text Char Char Char1,Footnote Char,F Char,p Char"/>
    <w:link w:val="FootnoteText"/>
    <w:uiPriority w:val="99"/>
    <w:qFormat/>
    <w:rsid w:val="002F536B"/>
    <w:rPr>
      <w:rFonts w:eastAsia="Times New Roman"/>
      <w:lang w:val="en-US" w:eastAsia="en-US"/>
    </w:rPr>
  </w:style>
  <w:style w:type="character" w:styleId="FootnoteReference">
    <w:name w:val="footnote reference"/>
    <w:aliases w:val="4_G,4_G Char Char,Appel note de bas de page Char Char,Appel note de bas de page Char Char Char Char Char Char Char Char Char Char Char Char Char Char Char Char Char Char Char Char,a Footnote Reference,FZ,Appel note de bas de page,Ref"/>
    <w:link w:val="4GChar"/>
    <w:uiPriority w:val="99"/>
    <w:qFormat/>
    <w:rsid w:val="002F536B"/>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Footnote Reference1 Char,Footnotes refss Char"/>
    <w:basedOn w:val="Normal"/>
    <w:link w:val="FootnoteReference"/>
    <w:uiPriority w:val="99"/>
    <w:rsid w:val="005079D4"/>
    <w:pPr>
      <w:jc w:val="both"/>
    </w:pPr>
    <w:rPr>
      <w:rFonts w:eastAsia="SimSun"/>
      <w:sz w:val="20"/>
      <w:szCs w:val="20"/>
      <w:vertAlign w:val="superscript"/>
      <w:lang w:val="en-GB" w:eastAsia="en-GB"/>
    </w:rPr>
  </w:style>
  <w:style w:type="paragraph" w:styleId="Header">
    <w:name w:val="header"/>
    <w:basedOn w:val="Normal"/>
    <w:link w:val="HeaderChar"/>
    <w:rsid w:val="00573576"/>
    <w:pPr>
      <w:tabs>
        <w:tab w:val="center" w:pos="4513"/>
        <w:tab w:val="right" w:pos="9026"/>
      </w:tabs>
    </w:pPr>
  </w:style>
  <w:style w:type="character" w:customStyle="1" w:styleId="HeaderChar">
    <w:name w:val="Header Char"/>
    <w:link w:val="Header"/>
    <w:rsid w:val="00573576"/>
    <w:rPr>
      <w:rFonts w:eastAsia="Times New Roman"/>
      <w:sz w:val="24"/>
      <w:szCs w:val="24"/>
      <w:lang w:val="en-US" w:eastAsia="en-US"/>
    </w:rPr>
  </w:style>
  <w:style w:type="paragraph" w:styleId="Footer">
    <w:name w:val="footer"/>
    <w:basedOn w:val="Normal"/>
    <w:link w:val="FooterChar"/>
    <w:rsid w:val="00573576"/>
    <w:pPr>
      <w:tabs>
        <w:tab w:val="center" w:pos="4513"/>
        <w:tab w:val="right" w:pos="9026"/>
      </w:tabs>
    </w:pPr>
  </w:style>
  <w:style w:type="character" w:customStyle="1" w:styleId="FooterChar">
    <w:name w:val="Footer Char"/>
    <w:link w:val="Footer"/>
    <w:rsid w:val="00573576"/>
    <w:rPr>
      <w:rFonts w:eastAsia="Times New Roman"/>
      <w:sz w:val="24"/>
      <w:szCs w:val="24"/>
      <w:lang w:val="en-US" w:eastAsia="en-US"/>
    </w:rPr>
  </w:style>
  <w:style w:type="paragraph" w:customStyle="1" w:styleId="4GCharCharChar">
    <w:name w:val="4_G Char Char Char"/>
    <w:aliases w:val="ftref Char Char Char,16 Point Char Char Char,Superscript 6 Point Char Char Char Char Char Char,Footnotes refss Char Char Char,Footnote Refernece Char1 Char Char,Footnote Ref Char Char Char,Superscript 6 Point Char Char Char,[0"/>
    <w:basedOn w:val="Normal"/>
    <w:uiPriority w:val="99"/>
    <w:rsid w:val="001F414A"/>
    <w:pPr>
      <w:jc w:val="both"/>
    </w:pPr>
    <w:rPr>
      <w:rFonts w:ascii="Aptos" w:eastAsia="Aptos" w:hAnsi="Aptos" w:cs="Arial"/>
      <w:kern w:val="2"/>
      <w:vertAlign w:val="superscript"/>
      <w:lang w:val="en-AU"/>
    </w:rPr>
  </w:style>
  <w:style w:type="character" w:styleId="Hyperlink">
    <w:name w:val="Hyperlink"/>
    <w:uiPriority w:val="99"/>
    <w:unhideWhenUsed/>
    <w:rsid w:val="00FA1B1D"/>
    <w:rPr>
      <w:color w:val="467886"/>
      <w:u w:val="single"/>
    </w:rPr>
  </w:style>
  <w:style w:type="paragraph" w:styleId="NormalWeb">
    <w:name w:val="Normal (Web)"/>
    <w:basedOn w:val="Normal"/>
    <w:uiPriority w:val="99"/>
    <w:unhideWhenUsed/>
    <w:rsid w:val="00F231FC"/>
    <w:pPr>
      <w:spacing w:before="100" w:beforeAutospacing="1" w:after="100" w:afterAutospacing="1"/>
    </w:pPr>
    <w:rPr>
      <w:lang w:eastAsia="zh-CN"/>
    </w:rPr>
  </w:style>
  <w:style w:type="paragraph" w:styleId="Revision">
    <w:name w:val="Revision"/>
    <w:hidden/>
    <w:uiPriority w:val="99"/>
    <w:semiHidden/>
    <w:rsid w:val="00B94C21"/>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56365">
      <w:bodyDiv w:val="1"/>
      <w:marLeft w:val="0"/>
      <w:marRight w:val="0"/>
      <w:marTop w:val="0"/>
      <w:marBottom w:val="0"/>
      <w:divBdr>
        <w:top w:val="none" w:sz="0" w:space="0" w:color="auto"/>
        <w:left w:val="none" w:sz="0" w:space="0" w:color="auto"/>
        <w:bottom w:val="none" w:sz="0" w:space="0" w:color="auto"/>
        <w:right w:val="none" w:sz="0" w:space="0" w:color="auto"/>
      </w:divBdr>
    </w:div>
    <w:div w:id="140930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312AA04FB07142842C10C3E52EF9F3" ma:contentTypeVersion="0" ma:contentTypeDescription="Create a new document." ma:contentTypeScope="" ma:versionID="e0552bbf23c2237ca5971ad120dd0f06">
  <xsd:schema xmlns:xsd="http://www.w3.org/2001/XMLSchema" xmlns:xs="http://www.w3.org/2001/XMLSchema" xmlns:p="http://schemas.microsoft.com/office/2006/metadata/properties" targetNamespace="http://schemas.microsoft.com/office/2006/metadata/properties" ma:root="true" ma:fieldsID="0ac3a7447a7246b5c45829a245a11f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D9B96F-3B4B-4A7C-BC88-9B94269B3FF0}">
  <ds:schemaRefs>
    <ds:schemaRef ds:uri="http://schemas.openxmlformats.org/officeDocument/2006/bibliography"/>
  </ds:schemaRefs>
</ds:datastoreItem>
</file>

<file path=customXml/itemProps2.xml><?xml version="1.0" encoding="utf-8"?>
<ds:datastoreItem xmlns:ds="http://schemas.openxmlformats.org/officeDocument/2006/customXml" ds:itemID="{99AE357E-8D2A-4E69-9BD0-75D406C64D18}">
  <ds:schemaRefs>
    <ds:schemaRef ds:uri="http://schemas.microsoft.com/sharepoint/v3/contenttype/forms"/>
  </ds:schemaRefs>
</ds:datastoreItem>
</file>

<file path=customXml/itemProps3.xml><?xml version="1.0" encoding="utf-8"?>
<ds:datastoreItem xmlns:ds="http://schemas.openxmlformats.org/officeDocument/2006/customXml" ds:itemID="{AF479894-334E-48FB-B637-1D344F9F4627}"/>
</file>

<file path=customXml/itemProps4.xml><?xml version="1.0" encoding="utf-8"?>
<ds:datastoreItem xmlns:ds="http://schemas.openxmlformats.org/officeDocument/2006/customXml" ds:itemID="{FEB6577C-3F9E-4C10-B59F-411F2328BC60}">
  <ds:schemaRefs>
    <ds:schemaRef ds:uri="http://schemas.microsoft.com/office/2006/metadata/properties"/>
    <ds:schemaRef ds:uri="http://schemas.microsoft.com/office/infopath/2007/PartnerControls"/>
    <ds:schemaRef ds:uri="f62cadcd-e163-4118-ac05-a32b5a627a72"/>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Template>
  <TotalTime>6</TotalTime>
  <Pages>1</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Report of</vt:lpstr>
    </vt:vector>
  </TitlesOfParts>
  <Company>International Computing Centre</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dc:title>
  <dc:subject/>
  <dc:creator>ugo cedrangolo</dc:creator>
  <cp:keywords/>
  <cp:lastModifiedBy>Karen Lorena Reyes Tolosa</cp:lastModifiedBy>
  <cp:revision>6</cp:revision>
  <cp:lastPrinted>2013-02-07T10:14:00Z</cp:lastPrinted>
  <dcterms:created xsi:type="dcterms:W3CDTF">2026-03-04T18:36:00Z</dcterms:created>
  <dcterms:modified xsi:type="dcterms:W3CDTF">2026-03-04T18:41:00Z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2b26a30ed187f8b54c20ddf8fb7d1a0c1181f147cb9fb5268700ea14614412fe</vt:lpwstr>
  </property>
  <property fmtid="{D5CDD505-2E9C-101B-9397-08002B2CF9AE}" pid="3" name="MSIP_Label_7eb58d0f-f804-411f-a20e-09ebfae62b4c_Enabled">
    <vt:lpwstr>true</vt:lpwstr>
  </property>
  <property fmtid="{D5CDD505-2E9C-101B-9397-08002B2CF9AE}" pid="4" name="MSIP_Label_7eb58d0f-f804-411f-a20e-09ebfae62b4c_SetDate">
    <vt:lpwstr>2025-12-26T05:55:20Z</vt:lpwstr>
  </property>
  <property fmtid="{D5CDD505-2E9C-101B-9397-08002B2CF9AE}" pid="5" name="MSIP_Label_7eb58d0f-f804-411f-a20e-09ebfae62b4c_Method">
    <vt:lpwstr>Standard</vt:lpwstr>
  </property>
  <property fmtid="{D5CDD505-2E9C-101B-9397-08002B2CF9AE}" pid="6" name="MSIP_Label_7eb58d0f-f804-411f-a20e-09ebfae62b4c_Name">
    <vt:lpwstr>7eb58d0f-f804-411f-a20e-09ebfae62b4c</vt:lpwstr>
  </property>
  <property fmtid="{D5CDD505-2E9C-101B-9397-08002B2CF9AE}" pid="7" name="MSIP_Label_7eb58d0f-f804-411f-a20e-09ebfae62b4c_SiteId">
    <vt:lpwstr>0f9e35db-544f-4f60-bdcc-5ea416e6dc70</vt:lpwstr>
  </property>
  <property fmtid="{D5CDD505-2E9C-101B-9397-08002B2CF9AE}" pid="8" name="MSIP_Label_7eb58d0f-f804-411f-a20e-09ebfae62b4c_ActionId">
    <vt:lpwstr>a32a4746-494b-4a08-9f4e-9e01c68d0cfb</vt:lpwstr>
  </property>
  <property fmtid="{D5CDD505-2E9C-101B-9397-08002B2CF9AE}" pid="9" name="MSIP_Label_7eb58d0f-f804-411f-a20e-09ebfae62b4c_ContentBits">
    <vt:lpwstr>0</vt:lpwstr>
  </property>
  <property fmtid="{D5CDD505-2E9C-101B-9397-08002B2CF9AE}" pid="10" name="ContentTypeId">
    <vt:lpwstr>0x0101001B312AA04FB07142842C10C3E52EF9F3</vt:lpwstr>
  </property>
</Properties>
</file>