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1420" w14:textId="77777777" w:rsidR="00AC12EA" w:rsidRDefault="00AC12EA" w:rsidP="00AC12EA">
      <w:pPr>
        <w:pStyle w:val="NormalWeb"/>
        <w:spacing w:before="0" w:beforeAutospacing="0" w:after="0" w:afterAutospacing="0"/>
        <w:jc w:val="center"/>
      </w:pPr>
      <w:r>
        <w:rPr>
          <w:rStyle w:val="Strong"/>
          <w:rFonts w:eastAsiaTheme="majorEastAsia"/>
        </w:rPr>
        <w:t>Report of the Special Rapporteur on the Right to Food</w:t>
      </w:r>
      <w:r>
        <w:br/>
        <w:t>A/HRC/61/51</w:t>
      </w:r>
    </w:p>
    <w:p w14:paraId="19350304" w14:textId="79FC7FE2" w:rsidR="00AC12EA" w:rsidRDefault="00AC12EA" w:rsidP="00AC12EA">
      <w:pPr>
        <w:pStyle w:val="NormalWeb"/>
        <w:spacing w:before="0" w:beforeAutospacing="0" w:after="0" w:afterAutospacing="0"/>
        <w:jc w:val="center"/>
      </w:pPr>
      <w:r>
        <w:t>61st session of the Human Rights Council</w:t>
      </w:r>
    </w:p>
    <w:p w14:paraId="77D42FA7" w14:textId="77777777" w:rsidR="00466945" w:rsidRDefault="00466945" w:rsidP="00AC12EA">
      <w:pPr>
        <w:pStyle w:val="NormalWeb"/>
        <w:spacing w:before="0" w:beforeAutospacing="0" w:after="0" w:afterAutospacing="0"/>
        <w:jc w:val="center"/>
      </w:pPr>
    </w:p>
    <w:p w14:paraId="21C17FCE" w14:textId="77777777" w:rsidR="00AC12EA" w:rsidRDefault="00AC12EA" w:rsidP="00466945">
      <w:pPr>
        <w:pStyle w:val="NormalWeb"/>
        <w:spacing w:before="0" w:beforeAutospacing="0" w:after="0" w:afterAutospacing="0"/>
      </w:pPr>
      <w:r>
        <w:rPr>
          <w:rStyle w:val="Strong"/>
          <w:rFonts w:eastAsiaTheme="majorEastAsia"/>
        </w:rPr>
        <w:t>Theme of the report: Land, Territory and the Right to Food</w:t>
      </w:r>
    </w:p>
    <w:p w14:paraId="08C1AE89" w14:textId="5C02F7B8" w:rsidR="003505CB" w:rsidRDefault="00AC12EA" w:rsidP="003505CB">
      <w:pPr>
        <w:pStyle w:val="NormalWeb"/>
        <w:jc w:val="both"/>
      </w:pPr>
      <w:r>
        <w:rPr>
          <w:rStyle w:val="Strong"/>
          <w:rFonts w:eastAsiaTheme="majorEastAsia"/>
        </w:rPr>
        <w:t>Summary:</w:t>
      </w:r>
      <w:r w:rsidR="00466945">
        <w:t xml:space="preserve"> </w:t>
      </w:r>
      <w:r w:rsidR="008073B6">
        <w:t>T</w:t>
      </w:r>
      <w:r w:rsidR="00466945">
        <w:t xml:space="preserve">he Special Rapporteur on the right to food, Michael Fakhri, examines </w:t>
      </w:r>
      <w:r w:rsidR="008073B6">
        <w:t xml:space="preserve">how </w:t>
      </w:r>
      <w:r w:rsidR="00466945">
        <w:t xml:space="preserve">land and territory </w:t>
      </w:r>
      <w:r w:rsidR="008073B6">
        <w:t>are intertwined with</w:t>
      </w:r>
      <w:r w:rsidR="00466945">
        <w:t xml:space="preserve"> the realization of the right to food</w:t>
      </w:r>
      <w:r w:rsidR="008073B6">
        <w:t>. L</w:t>
      </w:r>
      <w:r w:rsidR="008073B6" w:rsidRPr="008073B6">
        <w:t>and degradation, hunger, and environmental collapse share the same root cause: treating land as a commodity rather than as a living territory governed by rights.</w:t>
      </w:r>
      <w:r w:rsidR="008073B6">
        <w:t xml:space="preserve"> </w:t>
      </w:r>
      <w:r w:rsidR="00466945">
        <w:t>He highlights the growing global concentration and commodification of land driven by corporate consolidation, investment regimes, extractive industries and deregulated trade policies which has intensified dispossession, inequality, hunger and conflict. International trade and investment regimes are identified as key factors facilitating land concentration and weakening States’ capacity to protect tenure rights.</w:t>
      </w:r>
    </w:p>
    <w:p w14:paraId="38A05E0B" w14:textId="718C9F52" w:rsidR="003505CB" w:rsidRDefault="003505CB" w:rsidP="003505CB">
      <w:pPr>
        <w:pStyle w:val="NormalWeb"/>
        <w:jc w:val="both"/>
      </w:pPr>
      <w:r w:rsidRPr="003505CB">
        <w:t xml:space="preserve">The report evaluates the role of the United Nations Convention to Combat Desertification (UNCCD) welcoming its objectives but raising concerns over realization. Without progress on land governance and tenure, commitments under UNCCD will remain structurally fragile. This report suggests that UNCCD will fail to meet its objectives unless ICARRD </w:t>
      </w:r>
      <w:r>
        <w:t xml:space="preserve">2026 </w:t>
      </w:r>
      <w:r w:rsidRPr="003505CB">
        <w:t>delivers concrete outcomes on land redistribution, tenure security, and territorial rights.</w:t>
      </w:r>
    </w:p>
    <w:p w14:paraId="7C357053" w14:textId="78E62894" w:rsidR="00466945" w:rsidRDefault="00466945" w:rsidP="00466945">
      <w:pPr>
        <w:pStyle w:val="NormalWeb"/>
        <w:jc w:val="both"/>
      </w:pPr>
      <w:r>
        <w:t xml:space="preserve">The report identifies disputes over land and territory as central drivers of conflict worldwide, with particular focus on Palestine. It examines how Israel’s occupation and settlement expansion in the West Bank have reshaped Palestinian land tenure, restricted access to land and water, and undermined livelihoods, linking forced displacement and starvation to broader patterns of control, and referencing allegations of settler-colonial practices, apartheid and genocide in Gaza. </w:t>
      </w:r>
      <w:r w:rsidR="003505CB">
        <w:t>T</w:t>
      </w:r>
      <w:r>
        <w:t>he report highlights widespread dispossession affecting Indigenous Peoples, peasants, fisherfolk, Afro-descendant communities and pastoralists, and connects these patterns to environmental degradation, including desertification, deforestation, soil erosion and extractivism as manifestations of structural injustice in land governance.</w:t>
      </w:r>
    </w:p>
    <w:p w14:paraId="746B1952" w14:textId="127D7C74" w:rsidR="00AC12EA" w:rsidRDefault="008073B6" w:rsidP="00466945">
      <w:pPr>
        <w:pStyle w:val="NormalWeb"/>
        <w:jc w:val="both"/>
      </w:pPr>
      <w:r>
        <w:t>The Special Rapporteur discusses</w:t>
      </w:r>
      <w:r w:rsidR="00466945">
        <w:t xml:space="preserve"> digital land governance systems and conservation initiatives, cautioning that technocratic reforms may entrench exclusion if not grounded in human rights. He underscores persistent discrimination based on gender and sexual orientation in land ownership and inheritance, which continues to limit secure tenure and participation in decision-making for women and other marginalized rural communities. </w:t>
      </w:r>
      <w:r w:rsidR="003505CB">
        <w:t>T</w:t>
      </w:r>
      <w:r w:rsidR="00466945">
        <w:t>he report advances recognition of a right to land and territory and calls for safeguarding collective and customary tenure rights, redistributive agrarian reform, equitable access to natural resources, regulation of corporate land acquisitions, and the integration of human rights safeguards into environmental and digital governance frameworks.</w:t>
      </w:r>
    </w:p>
    <w:p w14:paraId="0FDC07ED" w14:textId="38C74F4C" w:rsidR="00AC12EA" w:rsidRPr="00466945" w:rsidRDefault="00AC12EA" w:rsidP="00466945">
      <w:pPr>
        <w:spacing w:after="80"/>
        <w:jc w:val="both"/>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Pr>
          <w:rFonts w:ascii="Times New Roman" w:hAnsi="Times New Roman" w:cs="Times New Roman"/>
          <w:b/>
          <w:color w:val="000000"/>
        </w:rPr>
        <w:t>i</w:t>
      </w:r>
      <w:r w:rsidRPr="00B551E7">
        <w:rPr>
          <w:rFonts w:ascii="Times New Roman" w:hAnsi="Times New Roman" w:cs="Times New Roman"/>
          <w:b/>
          <w:color w:val="000000"/>
        </w:rPr>
        <w:t xml:space="preserve">nteractive </w:t>
      </w:r>
      <w:r>
        <w:rPr>
          <w:rFonts w:ascii="Times New Roman" w:hAnsi="Times New Roman" w:cs="Times New Roman"/>
          <w:b/>
          <w:color w:val="000000"/>
        </w:rPr>
        <w:t>d</w:t>
      </w:r>
      <w:r w:rsidRPr="00B551E7">
        <w:rPr>
          <w:rFonts w:ascii="Times New Roman" w:hAnsi="Times New Roman" w:cs="Times New Roman"/>
          <w:b/>
          <w:color w:val="000000"/>
        </w:rPr>
        <w:t>ialogue</w:t>
      </w:r>
      <w:r w:rsidRPr="00B551E7">
        <w:rPr>
          <w:rFonts w:ascii="Times New Roman" w:hAnsi="Times New Roman" w:cs="Times New Roman"/>
          <w:color w:val="000000"/>
        </w:rPr>
        <w:t>:</w:t>
      </w:r>
    </w:p>
    <w:p w14:paraId="350C6B64" w14:textId="77777777" w:rsidR="00AC12EA" w:rsidRDefault="00AC12EA" w:rsidP="00466945">
      <w:pPr>
        <w:pStyle w:val="NormalWeb"/>
        <w:spacing w:before="0" w:beforeAutospacing="0"/>
        <w:jc w:val="both"/>
      </w:pPr>
      <w:r>
        <w:t>• How can States prevent excessive land concentration and strengthen protection of collective and customary tenure rights?</w:t>
      </w:r>
    </w:p>
    <w:p w14:paraId="3880BA57" w14:textId="77777777" w:rsidR="00AC12EA" w:rsidRDefault="00AC12EA" w:rsidP="00466945">
      <w:pPr>
        <w:pStyle w:val="NormalWeb"/>
        <w:spacing w:before="0" w:beforeAutospacing="0"/>
        <w:jc w:val="both"/>
      </w:pPr>
      <w:r>
        <w:t>• What measures are needed to regulate corporate land acquisitions and ensure human rights safeguards in environmental and digital land governance?</w:t>
      </w:r>
    </w:p>
    <w:p w14:paraId="16796171" w14:textId="0DE081B0" w:rsidR="00477CC6" w:rsidRDefault="00AC12EA" w:rsidP="00466945">
      <w:pPr>
        <w:pStyle w:val="NormalWeb"/>
        <w:spacing w:before="0" w:beforeAutospacing="0"/>
        <w:jc w:val="both"/>
      </w:pPr>
      <w:r>
        <w:t>• How can States prevent land dispossession and starvation in situations of conflict and occupation, and ensure accountability under international law?</w:t>
      </w:r>
    </w:p>
    <w:sectPr w:rsidR="00477CC6">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F86A" w14:textId="77777777" w:rsidR="00C20A9A" w:rsidRDefault="00C20A9A" w:rsidP="00466945">
      <w:r>
        <w:separator/>
      </w:r>
    </w:p>
  </w:endnote>
  <w:endnote w:type="continuationSeparator" w:id="0">
    <w:p w14:paraId="4B53385D" w14:textId="77777777" w:rsidR="00C20A9A" w:rsidRDefault="00C20A9A" w:rsidP="0046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6C09" w14:textId="77777777" w:rsidR="00C20A9A" w:rsidRDefault="00C20A9A" w:rsidP="00466945">
      <w:r>
        <w:separator/>
      </w:r>
    </w:p>
  </w:footnote>
  <w:footnote w:type="continuationSeparator" w:id="0">
    <w:p w14:paraId="2BEA2966" w14:textId="77777777" w:rsidR="00C20A9A" w:rsidRDefault="00C20A9A" w:rsidP="0046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2764940"/>
      <w:docPartObj>
        <w:docPartGallery w:val="Page Numbers (Top of Page)"/>
        <w:docPartUnique/>
      </w:docPartObj>
    </w:sdtPr>
    <w:sdtContent>
      <w:p w14:paraId="56A7972C" w14:textId="42B99950" w:rsidR="00466945" w:rsidRDefault="00466945" w:rsidP="00DA79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2F8254" w14:textId="77777777" w:rsidR="00466945" w:rsidRDefault="00466945" w:rsidP="004669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182130"/>
      <w:docPartObj>
        <w:docPartGallery w:val="Page Numbers (Top of Page)"/>
        <w:docPartUnique/>
      </w:docPartObj>
    </w:sdtPr>
    <w:sdtContent>
      <w:p w14:paraId="6F38044A" w14:textId="3852477D" w:rsidR="00466945" w:rsidRDefault="00466945" w:rsidP="00DA79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9A3D8D" w14:textId="77777777" w:rsidR="00466945" w:rsidRDefault="00466945" w:rsidP="0046694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E28"/>
    <w:multiLevelType w:val="multilevel"/>
    <w:tmpl w:val="4E0A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32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EA"/>
    <w:rsid w:val="003505CB"/>
    <w:rsid w:val="00466945"/>
    <w:rsid w:val="00477CC6"/>
    <w:rsid w:val="004D2E68"/>
    <w:rsid w:val="004F1DDB"/>
    <w:rsid w:val="00755D32"/>
    <w:rsid w:val="00784DC1"/>
    <w:rsid w:val="008073B6"/>
    <w:rsid w:val="00822AC7"/>
    <w:rsid w:val="00AC12EA"/>
    <w:rsid w:val="00B81AD2"/>
    <w:rsid w:val="00C20A9A"/>
    <w:rsid w:val="00DB7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803A"/>
  <w15:chartTrackingRefBased/>
  <w15:docId w15:val="{479EED5A-FBD0-4E4A-A2C3-42F3AD25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2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2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2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2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2E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C12E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C12E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C12E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C12E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C12E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C12E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C12E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C12E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C12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2E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C12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2E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C12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2EA"/>
    <w:rPr>
      <w:i/>
      <w:iCs/>
      <w:color w:val="404040" w:themeColor="text1" w:themeTint="BF"/>
      <w:lang w:val="en-GB"/>
    </w:rPr>
  </w:style>
  <w:style w:type="paragraph" w:styleId="ListParagraph">
    <w:name w:val="List Paragraph"/>
    <w:basedOn w:val="Normal"/>
    <w:uiPriority w:val="34"/>
    <w:qFormat/>
    <w:rsid w:val="00AC12EA"/>
    <w:pPr>
      <w:ind w:left="720"/>
      <w:contextualSpacing/>
    </w:pPr>
  </w:style>
  <w:style w:type="character" w:styleId="IntenseEmphasis">
    <w:name w:val="Intense Emphasis"/>
    <w:basedOn w:val="DefaultParagraphFont"/>
    <w:uiPriority w:val="21"/>
    <w:qFormat/>
    <w:rsid w:val="00AC12EA"/>
    <w:rPr>
      <w:i/>
      <w:iCs/>
      <w:color w:val="0F4761" w:themeColor="accent1" w:themeShade="BF"/>
    </w:rPr>
  </w:style>
  <w:style w:type="paragraph" w:styleId="IntenseQuote">
    <w:name w:val="Intense Quote"/>
    <w:basedOn w:val="Normal"/>
    <w:next w:val="Normal"/>
    <w:link w:val="IntenseQuoteChar"/>
    <w:uiPriority w:val="30"/>
    <w:qFormat/>
    <w:rsid w:val="00AC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2EA"/>
    <w:rPr>
      <w:i/>
      <w:iCs/>
      <w:color w:val="0F4761" w:themeColor="accent1" w:themeShade="BF"/>
      <w:lang w:val="en-GB"/>
    </w:rPr>
  </w:style>
  <w:style w:type="character" w:styleId="IntenseReference">
    <w:name w:val="Intense Reference"/>
    <w:basedOn w:val="DefaultParagraphFont"/>
    <w:uiPriority w:val="32"/>
    <w:qFormat/>
    <w:rsid w:val="00AC12EA"/>
    <w:rPr>
      <w:b/>
      <w:bCs/>
      <w:smallCaps/>
      <w:color w:val="0F4761" w:themeColor="accent1" w:themeShade="BF"/>
      <w:spacing w:val="5"/>
    </w:rPr>
  </w:style>
  <w:style w:type="paragraph" w:styleId="NormalWeb">
    <w:name w:val="Normal (Web)"/>
    <w:basedOn w:val="Normal"/>
    <w:uiPriority w:val="99"/>
    <w:unhideWhenUsed/>
    <w:rsid w:val="00AC12EA"/>
    <w:pPr>
      <w:spacing w:before="100" w:beforeAutospacing="1" w:after="100" w:afterAutospacing="1"/>
    </w:pPr>
    <w:rPr>
      <w:rFonts w:ascii="Times New Roman" w:eastAsia="Times New Roman" w:hAnsi="Times New Roman" w:cs="Times New Roman"/>
      <w:lang w:val="en-IN" w:eastAsia="en-GB"/>
    </w:rPr>
  </w:style>
  <w:style w:type="character" w:styleId="Strong">
    <w:name w:val="Strong"/>
    <w:basedOn w:val="DefaultParagraphFont"/>
    <w:uiPriority w:val="22"/>
    <w:qFormat/>
    <w:rsid w:val="00AC12EA"/>
    <w:rPr>
      <w:b/>
      <w:bCs/>
    </w:rPr>
  </w:style>
  <w:style w:type="paragraph" w:styleId="Header">
    <w:name w:val="header"/>
    <w:basedOn w:val="Normal"/>
    <w:link w:val="HeaderChar"/>
    <w:uiPriority w:val="99"/>
    <w:unhideWhenUsed/>
    <w:rsid w:val="00466945"/>
    <w:pPr>
      <w:tabs>
        <w:tab w:val="center" w:pos="4513"/>
        <w:tab w:val="right" w:pos="9026"/>
      </w:tabs>
    </w:pPr>
  </w:style>
  <w:style w:type="character" w:customStyle="1" w:styleId="HeaderChar">
    <w:name w:val="Header Char"/>
    <w:basedOn w:val="DefaultParagraphFont"/>
    <w:link w:val="Header"/>
    <w:uiPriority w:val="99"/>
    <w:rsid w:val="00466945"/>
    <w:rPr>
      <w:lang w:val="en-GB"/>
    </w:rPr>
  </w:style>
  <w:style w:type="character" w:styleId="PageNumber">
    <w:name w:val="page number"/>
    <w:basedOn w:val="DefaultParagraphFont"/>
    <w:uiPriority w:val="99"/>
    <w:semiHidden/>
    <w:unhideWhenUsed/>
    <w:rsid w:val="00466945"/>
  </w:style>
  <w:style w:type="paragraph" w:styleId="Revision">
    <w:name w:val="Revision"/>
    <w:hidden/>
    <w:uiPriority w:val="99"/>
    <w:semiHidden/>
    <w:rsid w:val="004F1DD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A51E9-3FF9-488D-9632-7619B89CE411}"/>
</file>

<file path=customXml/itemProps2.xml><?xml version="1.0" encoding="utf-8"?>
<ds:datastoreItem xmlns:ds="http://schemas.openxmlformats.org/officeDocument/2006/customXml" ds:itemID="{5684DCE4-4079-4E06-92E7-3B820FB50567}"/>
</file>

<file path=customXml/itemProps3.xml><?xml version="1.0" encoding="utf-8"?>
<ds:datastoreItem xmlns:ds="http://schemas.openxmlformats.org/officeDocument/2006/customXml" ds:itemID="{82D977A4-6D28-44F5-A66B-2DEC0292E181}"/>
</file>

<file path=docProps/app.xml><?xml version="1.0" encoding="utf-8"?>
<Properties xmlns="http://schemas.openxmlformats.org/officeDocument/2006/extended-properties" xmlns:vt="http://schemas.openxmlformats.org/officeDocument/2006/docPropsVTypes">
  <Template>Normal.dotm</Template>
  <TotalTime>17</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 Siddique</dc:creator>
  <cp:keywords/>
  <dc:description/>
  <cp:lastModifiedBy>Shahan Siddique</cp:lastModifiedBy>
  <cp:revision>2</cp:revision>
  <dcterms:created xsi:type="dcterms:W3CDTF">2026-02-04T10:42:00Z</dcterms:created>
  <dcterms:modified xsi:type="dcterms:W3CDTF">2026-02-10T10:58:00Z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