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3049" w14:textId="77777777" w:rsidR="001830DF" w:rsidRPr="001830DF" w:rsidRDefault="00B94654" w:rsidP="001830DF">
      <w:pPr>
        <w:spacing w:after="80" w:line="240" w:lineRule="auto"/>
        <w:jc w:val="center"/>
        <w:rPr>
          <w:rFonts w:asciiTheme="majorBidi" w:hAnsiTheme="majorBidi" w:cstheme="majorBidi"/>
          <w:b/>
          <w:bCs/>
          <w:sz w:val="24"/>
          <w:szCs w:val="24"/>
        </w:rPr>
      </w:pPr>
      <w:r w:rsidRPr="001830DF">
        <w:rPr>
          <w:rFonts w:asciiTheme="majorBidi" w:hAnsiTheme="majorBidi" w:cstheme="majorBidi"/>
          <w:b/>
          <w:sz w:val="24"/>
          <w:szCs w:val="24"/>
        </w:rPr>
        <w:t xml:space="preserve">Report of </w:t>
      </w:r>
      <w:r w:rsidR="004C46F9" w:rsidRPr="001830DF">
        <w:rPr>
          <w:rFonts w:asciiTheme="majorBidi" w:hAnsiTheme="majorBidi" w:cstheme="majorBidi"/>
          <w:b/>
          <w:sz w:val="24"/>
          <w:szCs w:val="24"/>
        </w:rPr>
        <w:t xml:space="preserve">the </w:t>
      </w:r>
      <w:r w:rsidR="001830DF" w:rsidRPr="001830DF">
        <w:rPr>
          <w:rFonts w:asciiTheme="majorBidi" w:hAnsiTheme="majorBidi" w:cstheme="majorBidi"/>
          <w:b/>
          <w:bCs/>
          <w:sz w:val="24"/>
          <w:szCs w:val="24"/>
        </w:rPr>
        <w:t xml:space="preserve">Special Rapporteur </w:t>
      </w:r>
      <w:proofErr w:type="gramStart"/>
      <w:r w:rsidR="001830DF" w:rsidRPr="001830DF">
        <w:rPr>
          <w:rFonts w:asciiTheme="majorBidi" w:hAnsiTheme="majorBidi" w:cstheme="majorBidi"/>
          <w:b/>
          <w:bCs/>
          <w:sz w:val="24"/>
          <w:szCs w:val="24"/>
        </w:rPr>
        <w:t>on the situation of</w:t>
      </w:r>
      <w:proofErr w:type="gramEnd"/>
      <w:r w:rsidR="001830DF" w:rsidRPr="001830DF">
        <w:rPr>
          <w:rFonts w:asciiTheme="majorBidi" w:hAnsiTheme="majorBidi" w:cstheme="majorBidi"/>
          <w:b/>
          <w:bCs/>
          <w:sz w:val="24"/>
          <w:szCs w:val="24"/>
        </w:rPr>
        <w:t xml:space="preserve"> human rights in the Palestinian territories occupied since 1967</w:t>
      </w:r>
    </w:p>
    <w:p w14:paraId="72D1607F" w14:textId="2E764879" w:rsidR="004C46F9" w:rsidRPr="001830DF" w:rsidRDefault="001830DF" w:rsidP="001830DF">
      <w:pPr>
        <w:spacing w:after="80" w:line="240" w:lineRule="auto"/>
        <w:jc w:val="center"/>
        <w:rPr>
          <w:rFonts w:asciiTheme="majorBidi" w:hAnsiTheme="majorBidi" w:cstheme="majorBidi"/>
          <w:sz w:val="24"/>
          <w:szCs w:val="24"/>
        </w:rPr>
      </w:pPr>
      <w:r w:rsidRPr="001830DF">
        <w:rPr>
          <w:rFonts w:asciiTheme="majorBidi" w:hAnsiTheme="majorBidi" w:cstheme="majorBidi"/>
          <w:sz w:val="24"/>
          <w:szCs w:val="24"/>
        </w:rPr>
        <w:t>A/HRC/61/71</w:t>
      </w:r>
    </w:p>
    <w:p w14:paraId="1724F7AF" w14:textId="79396670" w:rsidR="00B94654" w:rsidRPr="001830DF" w:rsidRDefault="00476504" w:rsidP="001830DF">
      <w:pPr>
        <w:spacing w:after="80" w:line="240" w:lineRule="auto"/>
        <w:jc w:val="center"/>
        <w:rPr>
          <w:rFonts w:asciiTheme="majorBidi" w:hAnsiTheme="majorBidi" w:cstheme="majorBidi"/>
          <w:b/>
          <w:sz w:val="24"/>
          <w:szCs w:val="24"/>
          <w:lang w:val="en-GB"/>
        </w:rPr>
      </w:pPr>
      <w:r w:rsidRPr="001830DF">
        <w:rPr>
          <w:rFonts w:asciiTheme="majorBidi" w:hAnsiTheme="majorBidi" w:cstheme="majorBidi"/>
          <w:sz w:val="24"/>
          <w:szCs w:val="24"/>
        </w:rPr>
        <w:t>61</w:t>
      </w:r>
      <w:r w:rsidRPr="001830DF">
        <w:rPr>
          <w:rFonts w:asciiTheme="majorBidi" w:hAnsiTheme="majorBidi" w:cstheme="majorBidi"/>
          <w:sz w:val="24"/>
          <w:szCs w:val="24"/>
          <w:vertAlign w:val="superscript"/>
        </w:rPr>
        <w:t>st</w:t>
      </w:r>
      <w:r w:rsidR="000666CB" w:rsidRPr="001830DF">
        <w:rPr>
          <w:rFonts w:asciiTheme="majorBidi" w:hAnsiTheme="majorBidi" w:cstheme="majorBidi"/>
          <w:sz w:val="24"/>
          <w:szCs w:val="24"/>
        </w:rPr>
        <w:t xml:space="preserve"> </w:t>
      </w:r>
      <w:r w:rsidR="00783F72" w:rsidRPr="001830DF">
        <w:rPr>
          <w:rFonts w:asciiTheme="majorBidi" w:hAnsiTheme="majorBidi" w:cstheme="majorBidi"/>
          <w:sz w:val="24"/>
          <w:szCs w:val="24"/>
        </w:rPr>
        <w:t>s</w:t>
      </w:r>
      <w:r w:rsidR="000666CB" w:rsidRPr="001830DF">
        <w:rPr>
          <w:rFonts w:asciiTheme="majorBidi" w:hAnsiTheme="majorBidi" w:cstheme="majorBidi"/>
          <w:sz w:val="24"/>
          <w:szCs w:val="24"/>
        </w:rPr>
        <w:t xml:space="preserve">ession of the </w:t>
      </w:r>
      <w:r w:rsidR="0089264A" w:rsidRPr="001830DF">
        <w:rPr>
          <w:rFonts w:asciiTheme="majorBidi" w:hAnsiTheme="majorBidi" w:cstheme="majorBidi"/>
          <w:sz w:val="24"/>
          <w:szCs w:val="24"/>
        </w:rPr>
        <w:t>Human Rights Council</w:t>
      </w:r>
      <w:r w:rsidR="002D6FB9" w:rsidRPr="001830DF">
        <w:rPr>
          <w:rFonts w:asciiTheme="majorBidi" w:hAnsiTheme="majorBidi" w:cstheme="majorBidi"/>
          <w:sz w:val="24"/>
          <w:szCs w:val="24"/>
        </w:rPr>
        <w:t xml:space="preserve"> </w:t>
      </w:r>
      <w:r w:rsidR="00471D80" w:rsidRPr="001830DF">
        <w:rPr>
          <w:rFonts w:asciiTheme="majorBidi" w:hAnsiTheme="majorBidi" w:cstheme="majorBidi"/>
          <w:sz w:val="24"/>
          <w:szCs w:val="24"/>
        </w:rPr>
        <w:br/>
      </w:r>
    </w:p>
    <w:p w14:paraId="423D9149" w14:textId="21024771" w:rsidR="00B94654" w:rsidRPr="001830DF" w:rsidRDefault="00B94654" w:rsidP="001830DF">
      <w:pPr>
        <w:spacing w:after="80" w:line="240" w:lineRule="auto"/>
        <w:jc w:val="both"/>
        <w:rPr>
          <w:rFonts w:asciiTheme="majorBidi" w:hAnsiTheme="majorBidi" w:cstheme="majorBidi"/>
          <w:b/>
          <w:bCs/>
          <w:color w:val="000000"/>
          <w:sz w:val="24"/>
          <w:szCs w:val="24"/>
        </w:rPr>
      </w:pPr>
      <w:r w:rsidRPr="001830DF">
        <w:rPr>
          <w:rFonts w:asciiTheme="majorBidi" w:hAnsiTheme="majorBidi" w:cstheme="majorBidi"/>
          <w:b/>
          <w:bCs/>
          <w:color w:val="000000"/>
          <w:sz w:val="24"/>
          <w:szCs w:val="24"/>
        </w:rPr>
        <w:t xml:space="preserve">Theme of the report: </w:t>
      </w:r>
      <w:r w:rsidR="001830DF" w:rsidRPr="001830DF">
        <w:rPr>
          <w:rFonts w:asciiTheme="majorBidi" w:hAnsiTheme="majorBidi" w:cstheme="majorBidi"/>
          <w:color w:val="000000"/>
          <w:sz w:val="24"/>
          <w:szCs w:val="24"/>
        </w:rPr>
        <w:t>“Torture and Genocide”</w:t>
      </w:r>
    </w:p>
    <w:p w14:paraId="2DCD923B" w14:textId="2D18FD48" w:rsidR="004C46F9" w:rsidRPr="001830DF" w:rsidRDefault="004C46F9" w:rsidP="001830DF">
      <w:pPr>
        <w:spacing w:after="80" w:line="240" w:lineRule="auto"/>
        <w:jc w:val="both"/>
        <w:rPr>
          <w:rFonts w:asciiTheme="majorBidi" w:hAnsiTheme="majorBidi" w:cstheme="majorBidi"/>
          <w:color w:val="000000"/>
          <w:sz w:val="24"/>
          <w:szCs w:val="24"/>
          <w:lang w:val="en-GB"/>
        </w:rPr>
      </w:pPr>
    </w:p>
    <w:p w14:paraId="333F2B54" w14:textId="77777777" w:rsidR="001830DF" w:rsidRPr="001830DF" w:rsidRDefault="004C46F9" w:rsidP="001830DF">
      <w:pPr>
        <w:spacing w:after="80" w:line="240" w:lineRule="auto"/>
        <w:jc w:val="both"/>
        <w:rPr>
          <w:rFonts w:asciiTheme="majorBidi" w:hAnsiTheme="majorBidi" w:cstheme="majorBidi"/>
          <w:color w:val="000000"/>
          <w:sz w:val="24"/>
          <w:szCs w:val="24"/>
        </w:rPr>
      </w:pPr>
      <w:r w:rsidRPr="001830DF">
        <w:rPr>
          <w:rFonts w:asciiTheme="majorBidi" w:hAnsiTheme="majorBidi" w:cstheme="majorBidi"/>
          <w:b/>
          <w:bCs/>
          <w:color w:val="000000"/>
          <w:sz w:val="24"/>
          <w:szCs w:val="24"/>
          <w:lang w:val="en-GB"/>
        </w:rPr>
        <w:t>Summary:</w:t>
      </w:r>
      <w:r w:rsidRPr="001830DF">
        <w:rPr>
          <w:rFonts w:asciiTheme="majorBidi" w:hAnsiTheme="majorBidi" w:cstheme="majorBidi"/>
          <w:color w:val="000000"/>
          <w:sz w:val="24"/>
          <w:szCs w:val="24"/>
          <w:lang w:val="en-GB"/>
        </w:rPr>
        <w:t xml:space="preserve"> </w:t>
      </w:r>
      <w:r w:rsidR="001830DF" w:rsidRPr="001830DF">
        <w:rPr>
          <w:rFonts w:asciiTheme="majorBidi" w:hAnsiTheme="majorBidi" w:cstheme="majorBidi"/>
          <w:color w:val="000000"/>
          <w:sz w:val="24"/>
          <w:szCs w:val="24"/>
        </w:rPr>
        <w:t xml:space="preserve">Titled “Torture and Genocide”, the report examines Israel’s systematic use of torture against Palestinians from the occupied Palestinian territory since 7 October 2023, encompassing both custodial and non-custodial practices, which it finds meet the threshold for genocide under the Genocide Convention. It indicates that torture has become integral to the domination of and punishment inflicted on men, women and children, both through custodial abuse and through a relentless campaign of forced displacement, mass killings, deprivation and destruction of all means of life to inflict long-term collective pain and suffering. </w:t>
      </w:r>
    </w:p>
    <w:p w14:paraId="2D6FBD52"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r w:rsidRPr="001830DF">
        <w:rPr>
          <w:rFonts w:asciiTheme="majorBidi" w:hAnsiTheme="majorBidi" w:cstheme="majorBidi"/>
          <w:color w:val="000000"/>
          <w:sz w:val="24"/>
          <w:szCs w:val="24"/>
          <w:lang w:val="en-GB"/>
        </w:rPr>
        <w:t xml:space="preserve">The report situates torture within a broader framework of both custodial and non-custodial policies and practices, in which the infliction of </w:t>
      </w:r>
      <w:r w:rsidRPr="001830DF">
        <w:rPr>
          <w:rFonts w:asciiTheme="majorBidi" w:hAnsiTheme="majorBidi" w:cstheme="majorBidi"/>
          <w:i/>
          <w:iCs/>
          <w:color w:val="000000"/>
          <w:sz w:val="24"/>
          <w:szCs w:val="24"/>
          <w:lang w:val="en-GB"/>
        </w:rPr>
        <w:t xml:space="preserve">collective </w:t>
      </w:r>
      <w:r w:rsidRPr="001830DF">
        <w:rPr>
          <w:rFonts w:asciiTheme="majorBidi" w:hAnsiTheme="majorBidi" w:cstheme="majorBidi"/>
          <w:color w:val="000000"/>
          <w:sz w:val="24"/>
          <w:szCs w:val="24"/>
          <w:lang w:val="en-GB"/>
        </w:rPr>
        <w:t xml:space="preserve">long-term harm reflects a concerted effort to control and erase a people: by destroying basic conditions of life, breaking social bonds and collective resistance, and ultimately forcing Palestinians from their land to replace them with settlers. </w:t>
      </w:r>
    </w:p>
    <w:p w14:paraId="5B4BAEC7"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r w:rsidRPr="001830DF">
        <w:rPr>
          <w:rFonts w:asciiTheme="majorBidi" w:hAnsiTheme="majorBidi" w:cstheme="majorBidi"/>
          <w:color w:val="000000"/>
          <w:sz w:val="24"/>
          <w:szCs w:val="24"/>
          <w:lang w:val="en-GB"/>
        </w:rPr>
        <w:t>The report finds that in custody, Palestinian have been subjected to exceptionally ruthless physical and psychological abuse, on a scale and with an intensity without precedent in the history of Palestine/Israel. Brutal beatings, sexual violence, rape, lethal mistreatment, starvation, and the systematic deprivation of the most basic human conditions have inflicted profound and lasting scars on the bodies and minds of tens of thousands of Palestinians and their loved ones. According to the report, these practices demonstrate that Israel’s detention system has descended into a regime of systemic and widespread humiliation, coercion, and terror, aiming at stripping Palestinians not only of their liberty but of their dignity, identity, and even the most basic sense of humanity – and that, far from isolated excesses, such conduct has been institutionalized within detention structures, politically endorsed by Israeli authorities, and publicly justified, or even celebrated, by segments of society.</w:t>
      </w:r>
    </w:p>
    <w:p w14:paraId="30A9C0BA"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r w:rsidRPr="001830DF">
        <w:rPr>
          <w:rFonts w:asciiTheme="majorBidi" w:hAnsiTheme="majorBidi" w:cstheme="majorBidi"/>
          <w:color w:val="000000"/>
          <w:sz w:val="24"/>
          <w:szCs w:val="24"/>
          <w:lang w:val="en-GB"/>
        </w:rPr>
        <w:t xml:space="preserve">The Special Rapporteur further reports that beyond detention, Palestinians are subjected to conditions that </w:t>
      </w:r>
      <w:r w:rsidRPr="001830DF">
        <w:rPr>
          <w:rFonts w:asciiTheme="majorBidi" w:hAnsiTheme="majorBidi" w:cstheme="majorBidi"/>
          <w:i/>
          <w:iCs/>
          <w:color w:val="000000"/>
          <w:sz w:val="24"/>
          <w:szCs w:val="24"/>
          <w:lang w:val="en-GB"/>
        </w:rPr>
        <w:t xml:space="preserve">cumulatively </w:t>
      </w:r>
      <w:r w:rsidRPr="001830DF">
        <w:rPr>
          <w:rFonts w:asciiTheme="majorBidi" w:hAnsiTheme="majorBidi" w:cstheme="majorBidi"/>
          <w:color w:val="000000"/>
          <w:sz w:val="24"/>
          <w:szCs w:val="24"/>
          <w:lang w:val="en-GB"/>
        </w:rPr>
        <w:t>inflict severe collective physical and psychological suffering: mass killings, mass displacement, mass destruction of homes and infrastructure, mass starvation, mass deprivation including of essential medical care, and the constant exposure to violence and humiliation without repair. The report underlines that in this torturous environment, the intentional destruction of the conditions necessary for life makes daily existence an ordeal of exhaustion, trauma and precarity.</w:t>
      </w:r>
    </w:p>
    <w:p w14:paraId="4C824D06"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proofErr w:type="gramStart"/>
      <w:r w:rsidRPr="001830DF">
        <w:rPr>
          <w:rFonts w:asciiTheme="majorBidi" w:hAnsiTheme="majorBidi" w:cstheme="majorBidi"/>
          <w:color w:val="000000"/>
          <w:sz w:val="24"/>
          <w:szCs w:val="24"/>
          <w:lang w:val="en-GB"/>
        </w:rPr>
        <w:t>In light of</w:t>
      </w:r>
      <w:proofErr w:type="gramEnd"/>
      <w:r w:rsidRPr="001830DF">
        <w:rPr>
          <w:rFonts w:asciiTheme="majorBidi" w:hAnsiTheme="majorBidi" w:cstheme="majorBidi"/>
          <w:color w:val="000000"/>
          <w:sz w:val="24"/>
          <w:szCs w:val="24"/>
          <w:lang w:val="en-GB"/>
        </w:rPr>
        <w:t xml:space="preserve"> the Special Rapporteur’s previous report (A/79/384), she stresses that by targeting the totality of the people, across the totality of the occupied land, through a totality of conducts, genocide has become the ultimate form of torture: continuous, generational and </w:t>
      </w:r>
      <w:r w:rsidRPr="001830DF">
        <w:rPr>
          <w:rFonts w:asciiTheme="majorBidi" w:hAnsiTheme="majorBidi" w:cstheme="majorBidi"/>
          <w:i/>
          <w:iCs/>
          <w:color w:val="000000"/>
          <w:sz w:val="24"/>
          <w:szCs w:val="24"/>
          <w:lang w:val="en-GB"/>
        </w:rPr>
        <w:t>collective</w:t>
      </w:r>
      <w:r w:rsidRPr="001830DF">
        <w:rPr>
          <w:rFonts w:asciiTheme="majorBidi" w:hAnsiTheme="majorBidi" w:cstheme="majorBidi"/>
          <w:color w:val="000000"/>
          <w:sz w:val="24"/>
          <w:szCs w:val="24"/>
          <w:lang w:val="en-GB"/>
        </w:rPr>
        <w:t>. The practices are designed to inflict harm and obliterate once and for all the Palestinian right to self-determination, eroding the possibility of political, cultural and territorial continuity. She concludes that this constitutes the infliction of serious bodily and mental harm under Article II(b) of the Genocide Convention, and intentional, collective torture.</w:t>
      </w:r>
    </w:p>
    <w:p w14:paraId="3368B2D5"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r w:rsidRPr="001830DF">
        <w:rPr>
          <w:rFonts w:asciiTheme="majorBidi" w:hAnsiTheme="majorBidi" w:cstheme="majorBidi"/>
          <w:color w:val="000000"/>
          <w:sz w:val="24"/>
          <w:szCs w:val="24"/>
          <w:lang w:val="en-GB"/>
        </w:rPr>
        <w:t xml:space="preserve">The report recommends the Government of Israel to immediately cease all acts of torture and ill-treatment of the Palestinian people as part of its ongoing genocide, whether custodial or non-custodial; dismantling of the apartheid regime; immediate end of Israel’s unlawful presence in the territory, alongside accountability, full reparation, guarantees of non-repetition and measures to preserve memory through institutional and educational reform. The Special Rapporteur also recommend Israel </w:t>
      </w:r>
      <w:r w:rsidRPr="001830DF">
        <w:rPr>
          <w:rFonts w:asciiTheme="majorBidi" w:hAnsiTheme="majorBidi" w:cstheme="majorBidi"/>
          <w:color w:val="000000"/>
          <w:sz w:val="24"/>
          <w:szCs w:val="24"/>
          <w:lang w:val="en-GB"/>
        </w:rPr>
        <w:lastRenderedPageBreak/>
        <w:t>to give access to the ICRC, the UN Commission of Inquiry, UN experts and lawyers to investigate all crimes committed, including torture and other ill-treatment.</w:t>
      </w:r>
    </w:p>
    <w:p w14:paraId="14405F85"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r w:rsidRPr="001830DF">
        <w:rPr>
          <w:rFonts w:asciiTheme="majorBidi" w:hAnsiTheme="majorBidi" w:cstheme="majorBidi"/>
          <w:color w:val="000000"/>
          <w:sz w:val="24"/>
          <w:szCs w:val="24"/>
          <w:lang w:val="en-GB"/>
        </w:rPr>
        <w:t xml:space="preserve">To Member States, the Special Rapporteur recommends complying with their obligation not to participate in or be complicit in Israeli crimes, and to instead prevent and address serious breaches of international law, particularly as set out in the UN Charter and the Genocide Convention, and to ensure that acts of genocide, torture and ill-treatment are investigated and prosecuted. </w:t>
      </w:r>
    </w:p>
    <w:p w14:paraId="1F81A46A"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r w:rsidRPr="001830DF">
        <w:rPr>
          <w:rFonts w:asciiTheme="majorBidi" w:hAnsiTheme="majorBidi" w:cstheme="majorBidi"/>
          <w:bCs/>
          <w:color w:val="000000"/>
          <w:sz w:val="24"/>
          <w:szCs w:val="24"/>
          <w:lang w:val="en-GB"/>
        </w:rPr>
        <w:t xml:space="preserve">Lastly, the Special Rapporteur recommends that </w:t>
      </w:r>
      <w:r w:rsidRPr="001830DF">
        <w:rPr>
          <w:rFonts w:asciiTheme="majorBidi" w:hAnsiTheme="majorBidi" w:cstheme="majorBidi"/>
          <w:color w:val="000000"/>
          <w:sz w:val="24"/>
          <w:szCs w:val="24"/>
          <w:lang w:val="en-GB"/>
        </w:rPr>
        <w:t xml:space="preserve">the Office of the Prosecutor of the International Criminal Court investigate and prosecute acts of genocide, torture and ill-treatment and, in this context, immediately request arrest warrants for Israeli officials in particular Ministers Ben-Gvir and Smotrich suspected of perpetrating and/or ordering atrocity crimes outlined in this report, as well as the Chief of the General Staff of the Israeli military and high-ranking officials within the Israeli Prison Service, in charge of detention centres. </w:t>
      </w:r>
    </w:p>
    <w:p w14:paraId="4B8D4136" w14:textId="77777777" w:rsidR="001830DF" w:rsidRPr="001830DF" w:rsidRDefault="001830DF" w:rsidP="001830DF">
      <w:pPr>
        <w:spacing w:after="80" w:line="240" w:lineRule="auto"/>
        <w:jc w:val="both"/>
        <w:rPr>
          <w:rFonts w:asciiTheme="majorBidi" w:hAnsiTheme="majorBidi" w:cstheme="majorBidi"/>
          <w:color w:val="000000"/>
          <w:sz w:val="24"/>
          <w:szCs w:val="24"/>
          <w:lang w:val="en-GB"/>
        </w:rPr>
      </w:pPr>
    </w:p>
    <w:p w14:paraId="6804DDE8" w14:textId="77777777" w:rsidR="00DA4BDA" w:rsidRPr="00DA4BDA" w:rsidRDefault="00DA4BDA" w:rsidP="00DA4BDA">
      <w:pPr>
        <w:spacing w:line="252" w:lineRule="auto"/>
        <w:rPr>
          <w:rFonts w:ascii="Times New Roman" w:eastAsia="Times New Roman" w:hAnsi="Times New Roman" w:cs="Times New Roman"/>
          <w:color w:val="000000"/>
        </w:rPr>
      </w:pPr>
      <w:r w:rsidRPr="00DA4BDA">
        <w:rPr>
          <w:rFonts w:ascii="Times New Roman" w:eastAsia="Times New Roman" w:hAnsi="Times New Roman" w:cs="Times New Roman"/>
          <w:b/>
          <w:color w:val="000000"/>
        </w:rPr>
        <w:t>Suggested points of engagement for States during the interactive dialogue</w:t>
      </w:r>
      <w:r w:rsidRPr="00DA4BDA">
        <w:rPr>
          <w:rFonts w:ascii="Times New Roman" w:eastAsia="Times New Roman" w:hAnsi="Times New Roman" w:cs="Times New Roman"/>
          <w:color w:val="000000"/>
        </w:rPr>
        <w:t>:</w:t>
      </w:r>
    </w:p>
    <w:p w14:paraId="1DC1EA45" w14:textId="77777777" w:rsidR="00DA4BDA" w:rsidRPr="00DA4BDA" w:rsidRDefault="00DA4BDA" w:rsidP="00DA4BDA">
      <w:pPr>
        <w:pStyle w:val="ListParagraph"/>
        <w:spacing w:line="252" w:lineRule="auto"/>
        <w:rPr>
          <w:rFonts w:ascii="Times New Roman" w:eastAsia="Times New Roman" w:hAnsi="Times New Roman" w:cs="Times New Roman"/>
          <w:color w:val="000000"/>
        </w:rPr>
      </w:pPr>
    </w:p>
    <w:p w14:paraId="33451C81" w14:textId="77777777" w:rsidR="00DA4BDA" w:rsidRPr="00DA4BDA" w:rsidRDefault="00DA4BDA" w:rsidP="00DA4BDA">
      <w:pPr>
        <w:pStyle w:val="ListParagraph"/>
        <w:numPr>
          <w:ilvl w:val="0"/>
          <w:numId w:val="8"/>
        </w:numPr>
        <w:spacing w:after="80" w:line="252" w:lineRule="auto"/>
        <w:rPr>
          <w:rFonts w:ascii="Times New Roman" w:eastAsia="Times New Roman" w:hAnsi="Times New Roman" w:cs="Times New Roman"/>
          <w:color w:val="000000"/>
        </w:rPr>
      </w:pPr>
      <w:r w:rsidRPr="00DA4BDA">
        <w:rPr>
          <w:rFonts w:ascii="Times New Roman" w:eastAsia="Times New Roman" w:hAnsi="Times New Roman" w:cs="Times New Roman"/>
          <w:color w:val="000000"/>
        </w:rPr>
        <w:t>When will your state take concrete actions to stop the genocide in Gaza and ensure that Palestinian people are protected? </w:t>
      </w:r>
    </w:p>
    <w:p w14:paraId="7D63469E" w14:textId="77777777" w:rsidR="00DA4BDA" w:rsidRPr="00DA4BDA" w:rsidRDefault="00DA4BDA" w:rsidP="00DA4BDA">
      <w:pPr>
        <w:pStyle w:val="ListParagraph"/>
        <w:numPr>
          <w:ilvl w:val="0"/>
          <w:numId w:val="8"/>
        </w:numPr>
        <w:spacing w:after="80" w:line="252" w:lineRule="auto"/>
        <w:rPr>
          <w:rFonts w:ascii="Times New Roman" w:eastAsia="Times New Roman" w:hAnsi="Times New Roman" w:cs="Times New Roman"/>
          <w:color w:val="000000"/>
        </w:rPr>
      </w:pPr>
      <w:r w:rsidRPr="00DA4BDA">
        <w:rPr>
          <w:rFonts w:ascii="Times New Roman" w:eastAsia="Times New Roman" w:hAnsi="Times New Roman" w:cs="Times New Roman"/>
          <w:color w:val="000000"/>
        </w:rPr>
        <w:t>The Special Rapporteur’s reports on genocide exposed the denial of self-determination of the Palestinian people and the denunciation of Israel’s settler-colonialism. How is the present report connected to it? </w:t>
      </w:r>
    </w:p>
    <w:p w14:paraId="64991FB8" w14:textId="5D14375D" w:rsidR="00DA4BDA" w:rsidRPr="00DA4BDA" w:rsidRDefault="00DA4BDA" w:rsidP="00DA4BDA">
      <w:pPr>
        <w:pStyle w:val="ListParagraph"/>
        <w:numPr>
          <w:ilvl w:val="0"/>
          <w:numId w:val="8"/>
        </w:numPr>
        <w:spacing w:line="252" w:lineRule="auto"/>
        <w:rPr>
          <w:rFonts w:ascii="Times New Roman" w:eastAsia="Times New Roman" w:hAnsi="Times New Roman" w:cs="Times New Roman"/>
          <w:color w:val="000000"/>
        </w:rPr>
      </w:pPr>
      <w:r w:rsidRPr="00DA4BDA">
        <w:rPr>
          <w:rFonts w:ascii="Times New Roman" w:eastAsia="Times New Roman" w:hAnsi="Times New Roman" w:cs="Times New Roman"/>
          <w:color w:val="000000"/>
        </w:rPr>
        <w:t>What steps has your state taken to comply with the provisional measure of the International Court of Justice?</w:t>
      </w:r>
    </w:p>
    <w:p w14:paraId="6D45DD44" w14:textId="65DDB4D4" w:rsidR="0089264A" w:rsidRPr="009D2335" w:rsidRDefault="0089264A" w:rsidP="001830DF">
      <w:pPr>
        <w:pStyle w:val="ListParagraph"/>
        <w:spacing w:after="80" w:line="252" w:lineRule="auto"/>
        <w:jc w:val="both"/>
        <w:rPr>
          <w:rFonts w:ascii="Times New Roman" w:eastAsia="Times New Roman" w:hAnsi="Times New Roman" w:cs="Times New Roman"/>
          <w:color w:val="000000"/>
          <w:lang w:val="en-GB"/>
        </w:rPr>
      </w:pPr>
    </w:p>
    <w:sectPr w:rsidR="0089264A" w:rsidRPr="009D2335"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8825" w14:textId="77777777" w:rsidR="0025498D" w:rsidRDefault="0025498D" w:rsidP="00DA7C55">
      <w:pPr>
        <w:spacing w:after="0" w:line="240" w:lineRule="auto"/>
      </w:pPr>
      <w:r>
        <w:separator/>
      </w:r>
    </w:p>
  </w:endnote>
  <w:endnote w:type="continuationSeparator" w:id="0">
    <w:p w14:paraId="6BDC87D6" w14:textId="77777777" w:rsidR="0025498D" w:rsidRDefault="0025498D"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6DFA" w14:textId="77777777" w:rsidR="0025498D" w:rsidRDefault="0025498D" w:rsidP="00DA7C55">
      <w:pPr>
        <w:spacing w:after="0" w:line="240" w:lineRule="auto"/>
      </w:pPr>
      <w:r>
        <w:separator/>
      </w:r>
    </w:p>
  </w:footnote>
  <w:footnote w:type="continuationSeparator" w:id="0">
    <w:p w14:paraId="62B7CB4E" w14:textId="77777777" w:rsidR="0025498D" w:rsidRDefault="0025498D"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EF"/>
    <w:multiLevelType w:val="hybridMultilevel"/>
    <w:tmpl w:val="CCE6497E"/>
    <w:lvl w:ilvl="0" w:tplc="C8A4B804">
      <w:start w:val="1"/>
      <w:numFmt w:val="decimal"/>
      <w:lvlText w:val="%1."/>
      <w:lvlJc w:val="left"/>
      <w:pPr>
        <w:ind w:left="720" w:hanging="360"/>
      </w:pPr>
      <w:rPr>
        <w:sz w:val="24"/>
        <w:szCs w:val="24"/>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545E6"/>
    <w:multiLevelType w:val="multilevel"/>
    <w:tmpl w:val="B1D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3"/>
  </w:num>
  <w:num w:numId="2" w16cid:durableId="427624793">
    <w:abstractNumId w:val="4"/>
  </w:num>
  <w:num w:numId="3" w16cid:durableId="1195071799">
    <w:abstractNumId w:val="6"/>
  </w:num>
  <w:num w:numId="4" w16cid:durableId="1121875248">
    <w:abstractNumId w:val="1"/>
  </w:num>
  <w:num w:numId="5" w16cid:durableId="16093165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6181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913838">
    <w:abstractNumId w:val="2"/>
  </w:num>
  <w:num w:numId="8" w16cid:durableId="229970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96F85"/>
    <w:rsid w:val="000D5D76"/>
    <w:rsid w:val="000E1B11"/>
    <w:rsid w:val="000E44D7"/>
    <w:rsid w:val="000F59FC"/>
    <w:rsid w:val="00120BA6"/>
    <w:rsid w:val="001332E5"/>
    <w:rsid w:val="001365EE"/>
    <w:rsid w:val="00137474"/>
    <w:rsid w:val="001621A2"/>
    <w:rsid w:val="001830DF"/>
    <w:rsid w:val="00226071"/>
    <w:rsid w:val="00236C1B"/>
    <w:rsid w:val="0025498D"/>
    <w:rsid w:val="002802C5"/>
    <w:rsid w:val="0029734A"/>
    <w:rsid w:val="00297CD5"/>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958C4"/>
    <w:rsid w:val="006A3FD6"/>
    <w:rsid w:val="00712749"/>
    <w:rsid w:val="0072728D"/>
    <w:rsid w:val="00742D3E"/>
    <w:rsid w:val="00783F72"/>
    <w:rsid w:val="00804C2E"/>
    <w:rsid w:val="008344E8"/>
    <w:rsid w:val="00870D8C"/>
    <w:rsid w:val="0089264A"/>
    <w:rsid w:val="008B7142"/>
    <w:rsid w:val="00900162"/>
    <w:rsid w:val="009277D3"/>
    <w:rsid w:val="0095525A"/>
    <w:rsid w:val="009838AA"/>
    <w:rsid w:val="009D2335"/>
    <w:rsid w:val="00A0134F"/>
    <w:rsid w:val="00A06072"/>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95166"/>
    <w:rsid w:val="00CD15CE"/>
    <w:rsid w:val="00D11F29"/>
    <w:rsid w:val="00D55799"/>
    <w:rsid w:val="00D71801"/>
    <w:rsid w:val="00D82871"/>
    <w:rsid w:val="00DA4BDA"/>
    <w:rsid w:val="00DA7C55"/>
    <w:rsid w:val="00E00135"/>
    <w:rsid w:val="00E11C2B"/>
    <w:rsid w:val="00E15D7C"/>
    <w:rsid w:val="00E3404E"/>
    <w:rsid w:val="00EF42E0"/>
    <w:rsid w:val="00EF7908"/>
    <w:rsid w:val="00F14182"/>
    <w:rsid w:val="00F95039"/>
    <w:rsid w:val="00FB5AAF"/>
    <w:rsid w:val="00FC2E2C"/>
    <w:rsid w:val="00FE06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paragraph" w:styleId="NoSpacing">
    <w:name w:val="No Spacing"/>
    <w:uiPriority w:val="1"/>
    <w:qFormat/>
    <w:rsid w:val="001830DF"/>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B6EA4-E33C-4F2D-BECE-C5D5EA496367}"/>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Amal Loubani</cp:lastModifiedBy>
  <cp:revision>6</cp:revision>
  <dcterms:created xsi:type="dcterms:W3CDTF">2026-03-02T15:07:00Z</dcterms:created>
  <dcterms:modified xsi:type="dcterms:W3CDTF">2026-03-16T11:20:00Z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