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71FC" w14:textId="77777777" w:rsidR="004C46F9" w:rsidRPr="004C46F9" w:rsidRDefault="00B94654" w:rsidP="00EF7908">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Report of the Special Rapporteur on freedom of religion or belief</w:t>
      </w:r>
      <w:r w:rsidRPr="00B551E7">
        <w:rPr>
          <w:rFonts w:ascii="Times New Roman" w:hAnsi="Times New Roman" w:cs="Times New Roman"/>
          <w:b/>
          <w:sz w:val="24"/>
          <w:szCs w:val="24"/>
        </w:rPr>
        <w:br/>
        <w:t>A/HRC/61/50</w:t>
      </w:r>
    </w:p>
    <w:p w14:paraId="2D5E18E2" w14:textId="359B652F" w:rsidR="000D5D76" w:rsidRPr="00B551E7" w:rsidRDefault="00476504" w:rsidP="2A6610DB">
      <w:pPr>
        <w:spacing w:after="80" w:line="240" w:lineRule="auto"/>
        <w:jc w:val="center"/>
        <w:rPr>
          <w:rFonts w:ascii="Times New Roman" w:hAnsi="Times New Roman" w:cs="Times New Roman"/>
          <w:b/>
          <w:bCs/>
          <w:lang w:val="en-GB"/>
        </w:rPr>
      </w:pPr>
      <w:r w:rsidRPr="2A6610DB">
        <w:rPr>
          <w:rFonts w:ascii="Times New Roman" w:hAnsi="Times New Roman" w:cs="Times New Roman"/>
          <w:sz w:val="24"/>
          <w:szCs w:val="24"/>
        </w:rPr>
        <w:t>61</w:t>
      </w:r>
      <w:r w:rsidRPr="2A6610DB">
        <w:rPr>
          <w:rFonts w:ascii="Times New Roman" w:hAnsi="Times New Roman" w:cs="Times New Roman"/>
          <w:sz w:val="24"/>
          <w:szCs w:val="24"/>
          <w:vertAlign w:val="superscript"/>
        </w:rPr>
        <w:t>st</w:t>
      </w:r>
      <w:r w:rsidR="00833F9D" w:rsidRPr="2A6610DB">
        <w:rPr>
          <w:rFonts w:ascii="Times New Roman" w:hAnsi="Times New Roman" w:cs="Times New Roman"/>
          <w:sz w:val="24"/>
          <w:szCs w:val="24"/>
        </w:rPr>
        <w:t xml:space="preserve"> </w:t>
      </w:r>
      <w:r w:rsidRPr="2A6610DB">
        <w:rPr>
          <w:rFonts w:ascii="Times New Roman" w:hAnsi="Times New Roman" w:cs="Times New Roman"/>
          <w:sz w:val="24"/>
          <w:szCs w:val="24"/>
        </w:rPr>
        <w:t>session of the Human Rights Council</w:t>
      </w:r>
    </w:p>
    <w:p w14:paraId="01A34A4A" w14:textId="6ED980B1" w:rsidR="2A6610DB" w:rsidRDefault="2A6610DB" w:rsidP="2A6610DB">
      <w:pPr>
        <w:spacing w:after="80" w:line="240" w:lineRule="auto"/>
        <w:jc w:val="center"/>
        <w:rPr>
          <w:rFonts w:ascii="Times New Roman" w:hAnsi="Times New Roman" w:cs="Times New Roman"/>
          <w:sz w:val="24"/>
          <w:szCs w:val="24"/>
        </w:rPr>
      </w:pPr>
    </w:p>
    <w:p w14:paraId="0DED5C63" w14:textId="0557D7A3" w:rsidR="00B94654" w:rsidRPr="00833F9D" w:rsidRDefault="00B94654" w:rsidP="005472B5">
      <w:pPr>
        <w:spacing w:after="240" w:line="240" w:lineRule="auto"/>
        <w:rPr>
          <w:rFonts w:ascii="Times New Roman" w:hAnsi="Times New Roman" w:cs="Times New Roman"/>
          <w:b/>
          <w:bCs/>
          <w:color w:val="000000"/>
          <w:sz w:val="23"/>
          <w:szCs w:val="23"/>
          <w:u w:val="single"/>
        </w:rPr>
      </w:pPr>
      <w:r w:rsidRPr="6E00AD5F">
        <w:rPr>
          <w:rFonts w:ascii="Times New Roman" w:hAnsi="Times New Roman" w:cs="Times New Roman"/>
          <w:b/>
          <w:bCs/>
          <w:color w:val="000000" w:themeColor="text1"/>
          <w:sz w:val="23"/>
          <w:szCs w:val="23"/>
          <w:u w:val="single"/>
        </w:rPr>
        <w:t>Theme: How freedom of religion or belief relates to death and honouring the deceased</w:t>
      </w:r>
    </w:p>
    <w:p w14:paraId="19D15FA3" w14:textId="450BC325" w:rsidR="004C46F9" w:rsidRPr="00833F9D" w:rsidRDefault="2C7E7855" w:rsidP="26CB7624">
      <w:pPr>
        <w:spacing w:after="120" w:line="240" w:lineRule="auto"/>
        <w:jc w:val="both"/>
        <w:rPr>
          <w:rFonts w:ascii="Times New Roman" w:hAnsi="Times New Roman" w:cs="Times New Roman"/>
          <w:color w:val="000000" w:themeColor="text1"/>
          <w:lang w:val="en-GB"/>
        </w:rPr>
      </w:pPr>
      <w:r w:rsidRPr="085EB5A1">
        <w:rPr>
          <w:rFonts w:ascii="Times New Roman" w:hAnsi="Times New Roman" w:cs="Times New Roman"/>
          <w:b/>
          <w:bCs/>
          <w:color w:val="000000" w:themeColor="text1"/>
          <w:lang w:val="en-GB"/>
        </w:rPr>
        <w:t xml:space="preserve">Summary: </w:t>
      </w:r>
      <w:r w:rsidRPr="085EB5A1">
        <w:rPr>
          <w:rFonts w:ascii="Times New Roman" w:hAnsi="Times New Roman" w:cs="Times New Roman"/>
          <w:color w:val="000000" w:themeColor="text1"/>
          <w:lang w:val="en-GB"/>
        </w:rPr>
        <w:t xml:space="preserve">In this thematic report, </w:t>
      </w:r>
      <w:r w:rsidR="00280495">
        <w:rPr>
          <w:rFonts w:ascii="Times New Roman" w:hAnsi="Times New Roman" w:cs="Times New Roman"/>
          <w:color w:val="000000" w:themeColor="text1"/>
          <w:lang w:val="en-GB"/>
        </w:rPr>
        <w:t xml:space="preserve">the </w:t>
      </w:r>
      <w:r w:rsidRPr="085EB5A1">
        <w:rPr>
          <w:rFonts w:ascii="Times New Roman" w:hAnsi="Times New Roman" w:cs="Times New Roman"/>
          <w:color w:val="000000" w:themeColor="text1"/>
          <w:lang w:val="en-GB"/>
        </w:rPr>
        <w:t xml:space="preserve">Special Rapporteur </w:t>
      </w:r>
      <w:r w:rsidR="00280495">
        <w:rPr>
          <w:rFonts w:ascii="Times New Roman" w:hAnsi="Times New Roman" w:cs="Times New Roman"/>
          <w:color w:val="000000" w:themeColor="text1"/>
          <w:lang w:val="en-GB"/>
        </w:rPr>
        <w:t xml:space="preserve">on freedom of religion or belief, </w:t>
      </w:r>
      <w:r w:rsidRPr="085EB5A1">
        <w:rPr>
          <w:rFonts w:ascii="Times New Roman" w:hAnsi="Times New Roman" w:cs="Times New Roman"/>
          <w:color w:val="000000" w:themeColor="text1"/>
          <w:lang w:val="en-GB"/>
        </w:rPr>
        <w:t>Nazila Ghanea</w:t>
      </w:r>
      <w:r w:rsidR="00280495">
        <w:rPr>
          <w:rFonts w:ascii="Times New Roman" w:hAnsi="Times New Roman" w:cs="Times New Roman"/>
          <w:color w:val="000000" w:themeColor="text1"/>
          <w:lang w:val="en-GB"/>
        </w:rPr>
        <w:t>,</w:t>
      </w:r>
      <w:r w:rsidRPr="085EB5A1">
        <w:rPr>
          <w:rFonts w:ascii="Times New Roman" w:hAnsi="Times New Roman" w:cs="Times New Roman"/>
          <w:color w:val="000000" w:themeColor="text1"/>
          <w:lang w:val="en-GB"/>
        </w:rPr>
        <w:t xml:space="preserve"> examines how freedom of religion or belief </w:t>
      </w:r>
      <w:r w:rsidR="1CB0FF8F" w:rsidRPr="085EB5A1">
        <w:rPr>
          <w:rFonts w:ascii="Times New Roman" w:hAnsi="Times New Roman" w:cs="Times New Roman"/>
          <w:color w:val="000000" w:themeColor="text1"/>
          <w:lang w:val="en-GB"/>
        </w:rPr>
        <w:t xml:space="preserve">offers significant rights insights with regards to honouring </w:t>
      </w:r>
      <w:r w:rsidR="009F0D95">
        <w:rPr>
          <w:rFonts w:ascii="Times New Roman" w:hAnsi="Times New Roman" w:cs="Times New Roman"/>
          <w:color w:val="000000" w:themeColor="text1"/>
          <w:lang w:val="en-GB"/>
        </w:rPr>
        <w:t xml:space="preserve">the </w:t>
      </w:r>
      <w:r w:rsidR="1CB0FF8F" w:rsidRPr="085EB5A1">
        <w:rPr>
          <w:rFonts w:ascii="Times New Roman" w:hAnsi="Times New Roman" w:cs="Times New Roman"/>
          <w:color w:val="000000" w:themeColor="text1"/>
          <w:lang w:val="en-GB"/>
        </w:rPr>
        <w:t>deceased</w:t>
      </w:r>
      <w:r w:rsidR="009F0D95">
        <w:rPr>
          <w:rFonts w:ascii="Times New Roman" w:hAnsi="Times New Roman" w:cs="Times New Roman"/>
          <w:color w:val="000000" w:themeColor="text1"/>
          <w:lang w:val="en-GB"/>
        </w:rPr>
        <w:t>,</w:t>
      </w:r>
      <w:r w:rsidR="1CB0FF8F" w:rsidRPr="085EB5A1">
        <w:rPr>
          <w:rFonts w:ascii="Times New Roman" w:hAnsi="Times New Roman" w:cs="Times New Roman"/>
          <w:color w:val="000000" w:themeColor="text1"/>
          <w:lang w:val="en-GB"/>
        </w:rPr>
        <w:t xml:space="preserve"> including</w:t>
      </w:r>
      <w:r w:rsidRPr="085EB5A1">
        <w:rPr>
          <w:rFonts w:ascii="Times New Roman" w:hAnsi="Times New Roman" w:cs="Times New Roman"/>
          <w:color w:val="000000" w:themeColor="text1"/>
          <w:lang w:val="en-GB"/>
        </w:rPr>
        <w:t xml:space="preserve"> in the practices of mourning, burial</w:t>
      </w:r>
      <w:r w:rsidR="17D1B592" w:rsidRPr="085EB5A1">
        <w:rPr>
          <w:rFonts w:ascii="Times New Roman" w:hAnsi="Times New Roman" w:cs="Times New Roman"/>
          <w:color w:val="000000" w:themeColor="text1"/>
          <w:lang w:val="en-GB"/>
        </w:rPr>
        <w:t xml:space="preserve"> or </w:t>
      </w:r>
      <w:r w:rsidRPr="085EB5A1">
        <w:rPr>
          <w:rFonts w:ascii="Times New Roman" w:hAnsi="Times New Roman" w:cs="Times New Roman"/>
          <w:color w:val="000000" w:themeColor="text1"/>
          <w:lang w:val="en-GB"/>
        </w:rPr>
        <w:t xml:space="preserve">cremation, and commemoration. </w:t>
      </w:r>
    </w:p>
    <w:p w14:paraId="4E19EE62" w14:textId="694EDDF7" w:rsidR="004C46F9" w:rsidRPr="00833F9D" w:rsidRDefault="2C7E7855" w:rsidP="2A6610DB">
      <w:pPr>
        <w:spacing w:after="120" w:line="240" w:lineRule="auto"/>
        <w:jc w:val="both"/>
        <w:rPr>
          <w:rFonts w:ascii="Times New Roman" w:hAnsi="Times New Roman" w:cs="Times New Roman"/>
          <w:color w:val="000000"/>
          <w:lang w:val="en-GB"/>
        </w:rPr>
      </w:pPr>
      <w:r w:rsidRPr="26CB7624">
        <w:rPr>
          <w:rFonts w:ascii="Times New Roman" w:hAnsi="Times New Roman" w:cs="Times New Roman"/>
          <w:color w:val="000000" w:themeColor="text1"/>
          <w:lang w:val="en-GB"/>
        </w:rPr>
        <w:t>“</w:t>
      </w:r>
      <w:r w:rsidR="5503FAB6" w:rsidRPr="26CB7624">
        <w:rPr>
          <w:rFonts w:ascii="Times New Roman" w:hAnsi="Times New Roman" w:cs="Times New Roman"/>
          <w:color w:val="000000" w:themeColor="text1"/>
          <w:lang w:val="en-GB"/>
        </w:rPr>
        <w:t>F</w:t>
      </w:r>
      <w:r w:rsidRPr="26CB7624">
        <w:rPr>
          <w:rFonts w:ascii="Times New Roman" w:hAnsi="Times New Roman" w:cs="Times New Roman"/>
          <w:color w:val="000000" w:themeColor="text1"/>
          <w:lang w:val="en-GB"/>
        </w:rPr>
        <w:t xml:space="preserve">uneral rights” </w:t>
      </w:r>
      <w:r w:rsidR="09D3769D" w:rsidRPr="26CB7624">
        <w:rPr>
          <w:rFonts w:ascii="Times New Roman" w:hAnsi="Times New Roman" w:cs="Times New Roman"/>
          <w:color w:val="000000" w:themeColor="text1"/>
          <w:lang w:val="en-GB"/>
        </w:rPr>
        <w:t xml:space="preserve">is used </w:t>
      </w:r>
      <w:r w:rsidRPr="26CB7624">
        <w:rPr>
          <w:rFonts w:ascii="Times New Roman" w:hAnsi="Times New Roman" w:cs="Times New Roman"/>
          <w:color w:val="000000" w:themeColor="text1"/>
          <w:lang w:val="en-GB"/>
        </w:rPr>
        <w:t xml:space="preserve">to capture the </w:t>
      </w:r>
      <w:r w:rsidR="47D737AB" w:rsidRPr="26CB7624">
        <w:rPr>
          <w:rFonts w:ascii="Times New Roman" w:hAnsi="Times New Roman" w:cs="Times New Roman"/>
          <w:color w:val="000000" w:themeColor="text1"/>
          <w:lang w:val="en-GB"/>
        </w:rPr>
        <w:t xml:space="preserve">related framework of rights, both individual and collective, relating to a </w:t>
      </w:r>
      <w:r w:rsidRPr="26CB7624">
        <w:rPr>
          <w:rFonts w:ascii="Times New Roman" w:hAnsi="Times New Roman" w:cs="Times New Roman"/>
          <w:color w:val="000000" w:themeColor="text1"/>
          <w:lang w:val="en-GB"/>
        </w:rPr>
        <w:t>wide range of religious</w:t>
      </w:r>
      <w:r w:rsidR="738D62F7" w:rsidRPr="26CB7624">
        <w:rPr>
          <w:rFonts w:ascii="Times New Roman" w:hAnsi="Times New Roman" w:cs="Times New Roman"/>
          <w:color w:val="000000" w:themeColor="text1"/>
          <w:lang w:val="en-GB"/>
        </w:rPr>
        <w:t xml:space="preserve"> laws, observances, and </w:t>
      </w:r>
      <w:r w:rsidR="5392CA21" w:rsidRPr="26CB7624">
        <w:rPr>
          <w:rFonts w:ascii="Times New Roman" w:hAnsi="Times New Roman" w:cs="Times New Roman"/>
          <w:color w:val="000000" w:themeColor="text1"/>
          <w:lang w:val="en-GB"/>
        </w:rPr>
        <w:t>rites</w:t>
      </w:r>
      <w:r w:rsidR="7E19AFB5" w:rsidRPr="26CB7624">
        <w:rPr>
          <w:rFonts w:ascii="Times New Roman" w:hAnsi="Times New Roman" w:cs="Times New Roman"/>
          <w:color w:val="000000" w:themeColor="text1"/>
          <w:lang w:val="en-GB"/>
        </w:rPr>
        <w:t>;</w:t>
      </w:r>
      <w:r w:rsidR="7546307C" w:rsidRPr="26CB7624">
        <w:rPr>
          <w:rFonts w:ascii="Times New Roman" w:hAnsi="Times New Roman" w:cs="Times New Roman"/>
          <w:color w:val="000000" w:themeColor="text1"/>
          <w:lang w:val="en-GB"/>
        </w:rPr>
        <w:t xml:space="preserve"> </w:t>
      </w:r>
      <w:r w:rsidRPr="26CB7624">
        <w:rPr>
          <w:rFonts w:ascii="Times New Roman" w:hAnsi="Times New Roman" w:cs="Times New Roman"/>
          <w:color w:val="000000" w:themeColor="text1"/>
          <w:lang w:val="en-GB"/>
        </w:rPr>
        <w:t xml:space="preserve">Indigenous and non-religious </w:t>
      </w:r>
      <w:r w:rsidR="6B11D04D" w:rsidRPr="26CB7624">
        <w:rPr>
          <w:rFonts w:ascii="Times New Roman" w:hAnsi="Times New Roman" w:cs="Times New Roman"/>
          <w:color w:val="000000" w:themeColor="text1"/>
          <w:lang w:val="en-GB"/>
        </w:rPr>
        <w:t>traditions</w:t>
      </w:r>
      <w:r w:rsidR="2354A56F" w:rsidRPr="26CB7624">
        <w:rPr>
          <w:rFonts w:ascii="Times New Roman" w:hAnsi="Times New Roman" w:cs="Times New Roman"/>
          <w:color w:val="000000" w:themeColor="text1"/>
          <w:lang w:val="en-GB"/>
        </w:rPr>
        <w:t xml:space="preserve"> and</w:t>
      </w:r>
      <w:r w:rsidR="6B11D04D" w:rsidRPr="26CB7624">
        <w:rPr>
          <w:rFonts w:ascii="Times New Roman" w:hAnsi="Times New Roman" w:cs="Times New Roman"/>
          <w:color w:val="000000" w:themeColor="text1"/>
          <w:lang w:val="en-GB"/>
        </w:rPr>
        <w:t xml:space="preserve"> practices</w:t>
      </w:r>
      <w:r w:rsidR="029A49F1" w:rsidRPr="26CB7624">
        <w:rPr>
          <w:rFonts w:ascii="Times New Roman" w:hAnsi="Times New Roman" w:cs="Times New Roman"/>
          <w:color w:val="000000" w:themeColor="text1"/>
          <w:lang w:val="en-GB"/>
        </w:rPr>
        <w:t>;</w:t>
      </w:r>
      <w:r w:rsidR="4E53084C" w:rsidRPr="26CB7624">
        <w:rPr>
          <w:rFonts w:ascii="Times New Roman" w:hAnsi="Times New Roman" w:cs="Times New Roman"/>
          <w:color w:val="000000" w:themeColor="text1"/>
          <w:lang w:val="en-GB"/>
        </w:rPr>
        <w:t xml:space="preserve"> and commemorations and ceremonies with or without religious elements</w:t>
      </w:r>
      <w:r w:rsidRPr="26CB7624">
        <w:rPr>
          <w:rFonts w:ascii="Times New Roman" w:hAnsi="Times New Roman" w:cs="Times New Roman"/>
          <w:color w:val="000000" w:themeColor="text1"/>
          <w:lang w:val="en-GB"/>
        </w:rPr>
        <w:t xml:space="preserve"> associated with death and the honouring of the deceased</w:t>
      </w:r>
      <w:r w:rsidR="2AACED92" w:rsidRPr="26CB7624">
        <w:rPr>
          <w:rFonts w:ascii="Times New Roman" w:hAnsi="Times New Roman" w:cs="Times New Roman"/>
          <w:color w:val="000000" w:themeColor="text1"/>
          <w:lang w:val="en-GB"/>
        </w:rPr>
        <w:t>,</w:t>
      </w:r>
      <w:r w:rsidR="67415340" w:rsidRPr="26CB7624">
        <w:rPr>
          <w:rFonts w:ascii="Times New Roman" w:hAnsi="Times New Roman" w:cs="Times New Roman"/>
          <w:color w:val="000000" w:themeColor="text1"/>
          <w:lang w:val="en-GB"/>
        </w:rPr>
        <w:t xml:space="preserve"> which, the report</w:t>
      </w:r>
      <w:r w:rsidRPr="26CB7624">
        <w:rPr>
          <w:rFonts w:ascii="Times New Roman" w:hAnsi="Times New Roman" w:cs="Times New Roman"/>
          <w:color w:val="000000" w:themeColor="text1"/>
          <w:lang w:val="en-GB"/>
        </w:rPr>
        <w:t xml:space="preserve"> argues</w:t>
      </w:r>
      <w:r w:rsidR="5B647C85" w:rsidRPr="26CB7624">
        <w:rPr>
          <w:rFonts w:ascii="Times New Roman" w:hAnsi="Times New Roman" w:cs="Times New Roman"/>
          <w:color w:val="000000" w:themeColor="text1"/>
          <w:lang w:val="en-GB"/>
        </w:rPr>
        <w:t xml:space="preserve"> </w:t>
      </w:r>
      <w:r w:rsidRPr="26CB7624">
        <w:rPr>
          <w:rFonts w:ascii="Times New Roman" w:hAnsi="Times New Roman" w:cs="Times New Roman"/>
          <w:color w:val="000000" w:themeColor="text1"/>
          <w:lang w:val="en-GB"/>
        </w:rPr>
        <w:t>are often overlooked</w:t>
      </w:r>
      <w:r w:rsidR="06BB5D14" w:rsidRPr="26CB7624">
        <w:rPr>
          <w:rFonts w:ascii="Times New Roman" w:hAnsi="Times New Roman" w:cs="Times New Roman"/>
          <w:color w:val="000000" w:themeColor="text1"/>
          <w:lang w:val="en-GB"/>
        </w:rPr>
        <w:t xml:space="preserve"> as rights entitlements</w:t>
      </w:r>
      <w:r w:rsidRPr="26CB7624">
        <w:rPr>
          <w:rFonts w:ascii="Times New Roman" w:hAnsi="Times New Roman" w:cs="Times New Roman"/>
          <w:color w:val="000000" w:themeColor="text1"/>
          <w:lang w:val="en-GB"/>
        </w:rPr>
        <w:t>, over-regulated, or denied in discriminatory ways.</w:t>
      </w:r>
    </w:p>
    <w:p w14:paraId="276DC71C" w14:textId="4562D163" w:rsidR="36111E71" w:rsidRDefault="36111E71" w:rsidP="26CB7624">
      <w:pPr>
        <w:spacing w:after="120" w:line="240" w:lineRule="auto"/>
        <w:jc w:val="both"/>
        <w:rPr>
          <w:rFonts w:ascii="Times New Roman" w:hAnsi="Times New Roman" w:cs="Times New Roman"/>
        </w:rPr>
      </w:pPr>
      <w:r w:rsidRPr="26CB7624">
        <w:rPr>
          <w:rFonts w:ascii="Times New Roman" w:hAnsi="Times New Roman" w:cs="Times New Roman"/>
        </w:rPr>
        <w:t xml:space="preserve">States </w:t>
      </w:r>
      <w:r w:rsidR="0C56872E" w:rsidRPr="26CB7624">
        <w:rPr>
          <w:rFonts w:ascii="Times New Roman" w:hAnsi="Times New Roman" w:cs="Times New Roman"/>
        </w:rPr>
        <w:t>should</w:t>
      </w:r>
      <w:r w:rsidRPr="26CB7624">
        <w:rPr>
          <w:rFonts w:ascii="Times New Roman" w:hAnsi="Times New Roman" w:cs="Times New Roman"/>
        </w:rPr>
        <w:t xml:space="preserve"> </w:t>
      </w:r>
      <w:r w:rsidR="026ACD0E" w:rsidRPr="26CB7624">
        <w:rPr>
          <w:rFonts w:ascii="Times New Roman" w:hAnsi="Times New Roman" w:cs="Times New Roman"/>
        </w:rPr>
        <w:t>uphold</w:t>
      </w:r>
      <w:r w:rsidRPr="26CB7624">
        <w:rPr>
          <w:rFonts w:ascii="Times New Roman" w:hAnsi="Times New Roman" w:cs="Times New Roman"/>
        </w:rPr>
        <w:t xml:space="preserve"> funeral rights without discrimination, including by recognizing and accommodating diverse practices to the highest extent possible; ensuring equal and practicable access to burial grounds and related facilities; preventing and responding to interference by State and non-State actors; </w:t>
      </w:r>
      <w:r w:rsidR="35DA7A3F" w:rsidRPr="26CB7624">
        <w:rPr>
          <w:rFonts w:ascii="Times New Roman" w:hAnsi="Times New Roman" w:cs="Times New Roman"/>
        </w:rPr>
        <w:t xml:space="preserve">and </w:t>
      </w:r>
      <w:r w:rsidRPr="26CB7624">
        <w:rPr>
          <w:rFonts w:ascii="Times New Roman" w:hAnsi="Times New Roman" w:cs="Times New Roman"/>
        </w:rPr>
        <w:t xml:space="preserve">ensuring accountability and effective remedies, including for hate-motivated attacks and desecration of </w:t>
      </w:r>
      <w:r w:rsidR="2EB2B53B" w:rsidRPr="26CB7624">
        <w:rPr>
          <w:rFonts w:ascii="Times New Roman" w:hAnsi="Times New Roman" w:cs="Times New Roman"/>
        </w:rPr>
        <w:t>funeral sites</w:t>
      </w:r>
      <w:r w:rsidRPr="26CB7624">
        <w:rPr>
          <w:rFonts w:ascii="Times New Roman" w:hAnsi="Times New Roman" w:cs="Times New Roman"/>
        </w:rPr>
        <w:t>.</w:t>
      </w:r>
    </w:p>
    <w:p w14:paraId="53DB1625" w14:textId="274E7B3E" w:rsidR="00912752" w:rsidRPr="00833F9D" w:rsidRDefault="724CB449" w:rsidP="26CB7624">
      <w:pPr>
        <w:spacing w:after="120" w:line="240" w:lineRule="auto"/>
        <w:jc w:val="both"/>
        <w:rPr>
          <w:rFonts w:ascii="Times New Roman" w:hAnsi="Times New Roman" w:cs="Times New Roman"/>
        </w:rPr>
      </w:pPr>
      <w:r w:rsidRPr="26CB7624">
        <w:rPr>
          <w:rFonts w:ascii="Times New Roman" w:hAnsi="Times New Roman" w:cs="Times New Roman"/>
        </w:rPr>
        <w:t xml:space="preserve">The report </w:t>
      </w:r>
      <w:r w:rsidR="5F361571" w:rsidRPr="26CB7624">
        <w:rPr>
          <w:rFonts w:ascii="Times New Roman" w:hAnsi="Times New Roman" w:cs="Times New Roman"/>
        </w:rPr>
        <w:t xml:space="preserve">notes that funeral rights are explicitly protected </w:t>
      </w:r>
      <w:r w:rsidR="72E02217" w:rsidRPr="26CB7624">
        <w:rPr>
          <w:rFonts w:ascii="Times New Roman" w:hAnsi="Times New Roman" w:cs="Times New Roman"/>
        </w:rPr>
        <w:t xml:space="preserve">in international legal instruments </w:t>
      </w:r>
      <w:r w:rsidR="5F361571" w:rsidRPr="26CB7624">
        <w:rPr>
          <w:rFonts w:ascii="Times New Roman" w:hAnsi="Times New Roman" w:cs="Times New Roman"/>
        </w:rPr>
        <w:t xml:space="preserve">as a manifestation of religion or belief. </w:t>
      </w:r>
      <w:r w:rsidR="43530435" w:rsidRPr="26CB7624">
        <w:rPr>
          <w:rFonts w:ascii="Times New Roman" w:hAnsi="Times New Roman" w:cs="Times New Roman"/>
        </w:rPr>
        <w:t xml:space="preserve">Any limitations on such manifestation must therefore meet the strict legality–necessity–proportionality legal tests and must not be used to coerce the living, for example by pressuring next of kin at the time of burial. </w:t>
      </w:r>
      <w:r w:rsidR="06181198" w:rsidRPr="26CB7624">
        <w:rPr>
          <w:rFonts w:ascii="Times New Roman" w:hAnsi="Times New Roman" w:cs="Times New Roman"/>
        </w:rPr>
        <w:t xml:space="preserve">Other rights that relate to funeral rights </w:t>
      </w:r>
      <w:r w:rsidR="799E2615" w:rsidRPr="26CB7624">
        <w:rPr>
          <w:rFonts w:ascii="Times New Roman" w:hAnsi="Times New Roman" w:cs="Times New Roman"/>
        </w:rPr>
        <w:t xml:space="preserve">include </w:t>
      </w:r>
      <w:r w:rsidRPr="26CB7624">
        <w:rPr>
          <w:rFonts w:ascii="Times New Roman" w:hAnsi="Times New Roman" w:cs="Times New Roman"/>
        </w:rPr>
        <w:t>non-discrimination, privacy</w:t>
      </w:r>
      <w:r w:rsidR="7D2E937B" w:rsidRPr="26CB7624">
        <w:rPr>
          <w:rFonts w:ascii="Times New Roman" w:hAnsi="Times New Roman" w:cs="Times New Roman"/>
        </w:rPr>
        <w:t>,</w:t>
      </w:r>
      <w:r w:rsidR="43A2542C" w:rsidRPr="26CB7624">
        <w:rPr>
          <w:rFonts w:ascii="Times New Roman" w:hAnsi="Times New Roman" w:cs="Times New Roman"/>
        </w:rPr>
        <w:t xml:space="preserve"> </w:t>
      </w:r>
      <w:r w:rsidRPr="26CB7624">
        <w:rPr>
          <w:rFonts w:ascii="Times New Roman" w:hAnsi="Times New Roman" w:cs="Times New Roman"/>
        </w:rPr>
        <w:t xml:space="preserve">family life, </w:t>
      </w:r>
      <w:r w:rsidR="21E83636" w:rsidRPr="26CB7624">
        <w:rPr>
          <w:rFonts w:ascii="Times New Roman" w:hAnsi="Times New Roman" w:cs="Times New Roman"/>
        </w:rPr>
        <w:t xml:space="preserve">peaceful </w:t>
      </w:r>
      <w:r w:rsidRPr="26CB7624">
        <w:rPr>
          <w:rFonts w:ascii="Times New Roman" w:hAnsi="Times New Roman" w:cs="Times New Roman"/>
        </w:rPr>
        <w:t>assembly</w:t>
      </w:r>
      <w:r w:rsidR="5372257B" w:rsidRPr="26CB7624">
        <w:rPr>
          <w:rFonts w:ascii="Times New Roman" w:hAnsi="Times New Roman" w:cs="Times New Roman"/>
        </w:rPr>
        <w:t>,</w:t>
      </w:r>
      <w:r w:rsidR="546115A7" w:rsidRPr="26CB7624">
        <w:rPr>
          <w:rFonts w:ascii="Times New Roman" w:hAnsi="Times New Roman" w:cs="Times New Roman"/>
        </w:rPr>
        <w:t xml:space="preserve"> </w:t>
      </w:r>
      <w:r w:rsidRPr="26CB7624">
        <w:rPr>
          <w:rFonts w:ascii="Times New Roman" w:hAnsi="Times New Roman" w:cs="Times New Roman"/>
        </w:rPr>
        <w:t xml:space="preserve">association, cultural </w:t>
      </w:r>
      <w:r w:rsidR="7A76B904" w:rsidRPr="26CB7624">
        <w:rPr>
          <w:rFonts w:ascii="Times New Roman" w:hAnsi="Times New Roman" w:cs="Times New Roman"/>
        </w:rPr>
        <w:t xml:space="preserve">rights, </w:t>
      </w:r>
      <w:r w:rsidRPr="26CB7624">
        <w:rPr>
          <w:rFonts w:ascii="Times New Roman" w:hAnsi="Times New Roman" w:cs="Times New Roman"/>
        </w:rPr>
        <w:t>minority rights</w:t>
      </w:r>
      <w:r w:rsidR="2DBF4EB2" w:rsidRPr="26CB7624">
        <w:rPr>
          <w:rFonts w:ascii="Times New Roman" w:hAnsi="Times New Roman" w:cs="Times New Roman"/>
        </w:rPr>
        <w:t xml:space="preserve">, </w:t>
      </w:r>
      <w:r w:rsidRPr="26CB7624">
        <w:rPr>
          <w:rFonts w:ascii="Times New Roman" w:hAnsi="Times New Roman" w:cs="Times New Roman"/>
        </w:rPr>
        <w:t>property rights</w:t>
      </w:r>
      <w:r w:rsidR="3168D333" w:rsidRPr="26CB7624">
        <w:rPr>
          <w:rFonts w:ascii="Times New Roman" w:hAnsi="Times New Roman" w:cs="Times New Roman"/>
        </w:rPr>
        <w:t xml:space="preserve"> and the right to life</w:t>
      </w:r>
      <w:r w:rsidR="754F780B" w:rsidRPr="26CB7624">
        <w:rPr>
          <w:rFonts w:ascii="Times New Roman" w:hAnsi="Times New Roman" w:cs="Times New Roman"/>
        </w:rPr>
        <w:t xml:space="preserve">. </w:t>
      </w:r>
    </w:p>
    <w:p w14:paraId="16ED5C8A" w14:textId="0A6B4B35" w:rsidR="00912752" w:rsidRPr="00833F9D" w:rsidRDefault="658263A1" w:rsidP="2A6610DB">
      <w:pPr>
        <w:spacing w:after="120" w:line="240" w:lineRule="auto"/>
        <w:jc w:val="both"/>
        <w:rPr>
          <w:rFonts w:ascii="Times New Roman" w:hAnsi="Times New Roman" w:cs="Times New Roman"/>
        </w:rPr>
      </w:pPr>
      <w:r w:rsidRPr="26CB7624">
        <w:rPr>
          <w:rFonts w:ascii="Times New Roman" w:hAnsi="Times New Roman" w:cs="Times New Roman"/>
        </w:rPr>
        <w:t>Freedom of religion or belief</w:t>
      </w:r>
      <w:r w:rsidR="724CB449" w:rsidRPr="26CB7624">
        <w:rPr>
          <w:rFonts w:ascii="Times New Roman" w:hAnsi="Times New Roman" w:cs="Times New Roman"/>
        </w:rPr>
        <w:t xml:space="preserve"> </w:t>
      </w:r>
      <w:r w:rsidR="532C1C4E" w:rsidRPr="26CB7624">
        <w:rPr>
          <w:rFonts w:ascii="Times New Roman" w:hAnsi="Times New Roman" w:cs="Times New Roman"/>
        </w:rPr>
        <w:t xml:space="preserve">makes eight specific contributions to </w:t>
      </w:r>
      <w:r w:rsidR="7835B091" w:rsidRPr="26CB7624">
        <w:rPr>
          <w:rFonts w:ascii="Times New Roman" w:hAnsi="Times New Roman" w:cs="Times New Roman"/>
        </w:rPr>
        <w:t>funeral</w:t>
      </w:r>
      <w:r w:rsidR="532C1C4E" w:rsidRPr="26CB7624">
        <w:rPr>
          <w:rFonts w:ascii="Times New Roman" w:hAnsi="Times New Roman" w:cs="Times New Roman"/>
        </w:rPr>
        <w:t xml:space="preserve"> rights, including </w:t>
      </w:r>
      <w:r w:rsidR="124DA3CC" w:rsidRPr="26CB7624">
        <w:rPr>
          <w:rFonts w:ascii="Times New Roman" w:hAnsi="Times New Roman" w:cs="Times New Roman"/>
        </w:rPr>
        <w:t>clarifying</w:t>
      </w:r>
      <w:r w:rsidR="724CB449" w:rsidRPr="26CB7624">
        <w:rPr>
          <w:rFonts w:ascii="Times New Roman" w:hAnsi="Times New Roman" w:cs="Times New Roman"/>
        </w:rPr>
        <w:t xml:space="preserve"> the relevant rights-holders a</w:t>
      </w:r>
      <w:r w:rsidR="2C379BB7" w:rsidRPr="26CB7624">
        <w:rPr>
          <w:rFonts w:ascii="Times New Roman" w:hAnsi="Times New Roman" w:cs="Times New Roman"/>
        </w:rPr>
        <w:t>s</w:t>
      </w:r>
      <w:r w:rsidR="724CB449" w:rsidRPr="26CB7624">
        <w:rPr>
          <w:rFonts w:ascii="Times New Roman" w:hAnsi="Times New Roman" w:cs="Times New Roman"/>
        </w:rPr>
        <w:t xml:space="preserve"> the deceased</w:t>
      </w:r>
      <w:r w:rsidR="5BEBE7FD" w:rsidRPr="26CB7624">
        <w:rPr>
          <w:rFonts w:ascii="Times New Roman" w:hAnsi="Times New Roman" w:cs="Times New Roman"/>
        </w:rPr>
        <w:t>, the</w:t>
      </w:r>
      <w:r w:rsidR="724CB449" w:rsidRPr="26CB7624">
        <w:rPr>
          <w:rFonts w:ascii="Times New Roman" w:hAnsi="Times New Roman" w:cs="Times New Roman"/>
        </w:rPr>
        <w:t xml:space="preserve"> next of kin and family</w:t>
      </w:r>
      <w:r w:rsidR="072C04D1" w:rsidRPr="26CB7624">
        <w:rPr>
          <w:rFonts w:ascii="Times New Roman" w:hAnsi="Times New Roman" w:cs="Times New Roman"/>
        </w:rPr>
        <w:t>,</w:t>
      </w:r>
      <w:r w:rsidR="724CB449" w:rsidRPr="26CB7624">
        <w:rPr>
          <w:rFonts w:ascii="Times New Roman" w:hAnsi="Times New Roman" w:cs="Times New Roman"/>
        </w:rPr>
        <w:t xml:space="preserve"> and the</w:t>
      </w:r>
      <w:r w:rsidR="6D8E524B" w:rsidRPr="26CB7624">
        <w:rPr>
          <w:rFonts w:ascii="Times New Roman" w:hAnsi="Times New Roman" w:cs="Times New Roman"/>
        </w:rPr>
        <w:t>ir</w:t>
      </w:r>
      <w:r w:rsidR="724CB449" w:rsidRPr="26CB7624">
        <w:rPr>
          <w:rFonts w:ascii="Times New Roman" w:hAnsi="Times New Roman" w:cs="Times New Roman"/>
        </w:rPr>
        <w:t xml:space="preserve"> ‘community of practice’</w:t>
      </w:r>
      <w:r w:rsidR="1F3B6F89" w:rsidRPr="26CB7624">
        <w:rPr>
          <w:rFonts w:ascii="Times New Roman" w:hAnsi="Times New Roman" w:cs="Times New Roman"/>
        </w:rPr>
        <w:t>.</w:t>
      </w:r>
      <w:r w:rsidR="724CB449" w:rsidRPr="26CB7624">
        <w:rPr>
          <w:rFonts w:ascii="Times New Roman" w:hAnsi="Times New Roman" w:cs="Times New Roman"/>
        </w:rPr>
        <w:t xml:space="preserve"> </w:t>
      </w:r>
    </w:p>
    <w:p w14:paraId="2B03DE78" w14:textId="32D7EEC0" w:rsidR="00912752" w:rsidRPr="00833F9D" w:rsidRDefault="724CB449" w:rsidP="2A6610DB">
      <w:pPr>
        <w:spacing w:after="120" w:line="240" w:lineRule="auto"/>
        <w:jc w:val="both"/>
        <w:rPr>
          <w:rFonts w:ascii="Times New Roman" w:hAnsi="Times New Roman" w:cs="Times New Roman"/>
        </w:rPr>
      </w:pPr>
      <w:r w:rsidRPr="26CB7624">
        <w:rPr>
          <w:rFonts w:ascii="Times New Roman" w:hAnsi="Times New Roman" w:cs="Times New Roman"/>
        </w:rPr>
        <w:t>Across law, policy and practice, the report documents recurring patterns of restrictions</w:t>
      </w:r>
      <w:r w:rsidR="26C095C8" w:rsidRPr="26CB7624">
        <w:rPr>
          <w:rFonts w:ascii="Times New Roman" w:hAnsi="Times New Roman" w:cs="Times New Roman"/>
        </w:rPr>
        <w:t xml:space="preserve"> </w:t>
      </w:r>
      <w:r w:rsidR="6C241292" w:rsidRPr="26CB7624">
        <w:rPr>
          <w:rFonts w:ascii="Times New Roman" w:hAnsi="Times New Roman" w:cs="Times New Roman"/>
        </w:rPr>
        <w:t xml:space="preserve">and violations </w:t>
      </w:r>
      <w:r w:rsidR="26C095C8" w:rsidRPr="26CB7624">
        <w:rPr>
          <w:rFonts w:ascii="Times New Roman" w:hAnsi="Times New Roman" w:cs="Times New Roman"/>
        </w:rPr>
        <w:t>drawing from</w:t>
      </w:r>
      <w:r w:rsidRPr="26CB7624">
        <w:rPr>
          <w:rFonts w:ascii="Times New Roman" w:hAnsi="Times New Roman" w:cs="Times New Roman"/>
        </w:rPr>
        <w:t xml:space="preserve"> lack of recognition of religion</w:t>
      </w:r>
      <w:r w:rsidR="66AFE031" w:rsidRPr="26CB7624">
        <w:rPr>
          <w:rFonts w:ascii="Times New Roman" w:hAnsi="Times New Roman" w:cs="Times New Roman"/>
        </w:rPr>
        <w:t xml:space="preserve"> and </w:t>
      </w:r>
      <w:r w:rsidRPr="26CB7624">
        <w:rPr>
          <w:rFonts w:ascii="Times New Roman" w:hAnsi="Times New Roman" w:cs="Times New Roman"/>
        </w:rPr>
        <w:t>belief communities</w:t>
      </w:r>
      <w:r w:rsidR="54DC45E6" w:rsidRPr="26CB7624">
        <w:rPr>
          <w:rFonts w:ascii="Times New Roman" w:hAnsi="Times New Roman" w:cs="Times New Roman"/>
        </w:rPr>
        <w:t xml:space="preserve"> and Indigenous Peoples</w:t>
      </w:r>
      <w:r w:rsidRPr="26CB7624">
        <w:rPr>
          <w:rFonts w:ascii="Times New Roman" w:hAnsi="Times New Roman" w:cs="Times New Roman"/>
        </w:rPr>
        <w:t xml:space="preserve">; ‘neutral’ rules that in practice privilege </w:t>
      </w:r>
      <w:r w:rsidR="74F41EFB" w:rsidRPr="26CB7624">
        <w:rPr>
          <w:rFonts w:ascii="Times New Roman" w:hAnsi="Times New Roman" w:cs="Times New Roman"/>
        </w:rPr>
        <w:t xml:space="preserve">and enforce </w:t>
      </w:r>
      <w:r w:rsidRPr="26CB7624">
        <w:rPr>
          <w:rFonts w:ascii="Times New Roman" w:hAnsi="Times New Roman" w:cs="Times New Roman"/>
        </w:rPr>
        <w:t xml:space="preserve">majoritarian customs; zoning and administrative barriers to cemeteries and facilities; and desecration, vandalism and destruction of graves and burial sites. </w:t>
      </w:r>
      <w:r w:rsidR="5E1833B4" w:rsidRPr="26CB7624">
        <w:rPr>
          <w:rFonts w:ascii="Times New Roman" w:hAnsi="Times New Roman" w:cs="Times New Roman"/>
        </w:rPr>
        <w:t>These</w:t>
      </w:r>
      <w:r w:rsidRPr="26CB7624">
        <w:rPr>
          <w:rFonts w:ascii="Times New Roman" w:hAnsi="Times New Roman" w:cs="Times New Roman"/>
        </w:rPr>
        <w:t xml:space="preserve"> </w:t>
      </w:r>
      <w:r w:rsidR="6C4FA5B8" w:rsidRPr="26CB7624">
        <w:rPr>
          <w:rFonts w:ascii="Times New Roman" w:hAnsi="Times New Roman" w:cs="Times New Roman"/>
        </w:rPr>
        <w:t>highlight</w:t>
      </w:r>
      <w:r w:rsidRPr="26CB7624">
        <w:rPr>
          <w:rFonts w:ascii="Times New Roman" w:hAnsi="Times New Roman" w:cs="Times New Roman"/>
        </w:rPr>
        <w:t xml:space="preserve"> the need for sustained consultation with </w:t>
      </w:r>
      <w:r w:rsidR="7F0B2EC2" w:rsidRPr="26CB7624">
        <w:rPr>
          <w:rFonts w:ascii="Times New Roman" w:hAnsi="Times New Roman" w:cs="Times New Roman"/>
        </w:rPr>
        <w:t xml:space="preserve">all </w:t>
      </w:r>
      <w:r w:rsidR="30B6B184" w:rsidRPr="26CB7624">
        <w:rPr>
          <w:rFonts w:ascii="Times New Roman" w:hAnsi="Times New Roman" w:cs="Times New Roman"/>
        </w:rPr>
        <w:t xml:space="preserve">concerned </w:t>
      </w:r>
      <w:r w:rsidRPr="26CB7624">
        <w:rPr>
          <w:rFonts w:ascii="Times New Roman" w:hAnsi="Times New Roman" w:cs="Times New Roman"/>
        </w:rPr>
        <w:t>religion and belief communities.</w:t>
      </w:r>
    </w:p>
    <w:p w14:paraId="76F0B19A" w14:textId="1D3BFE98" w:rsidR="6E1A1342" w:rsidRDefault="400BCD2F" w:rsidP="2A6610DB">
      <w:pPr>
        <w:spacing w:after="120" w:line="240" w:lineRule="auto"/>
        <w:jc w:val="both"/>
        <w:rPr>
          <w:rFonts w:ascii="Times New Roman" w:hAnsi="Times New Roman" w:cs="Times New Roman"/>
        </w:rPr>
      </w:pPr>
      <w:r w:rsidRPr="26CB7624">
        <w:rPr>
          <w:rFonts w:ascii="Times New Roman" w:hAnsi="Times New Roman" w:cs="Times New Roman"/>
        </w:rPr>
        <w:t xml:space="preserve">The report concludes by underscoring that dignity and equality do not end at death. In light of </w:t>
      </w:r>
      <w:r w:rsidR="245AA504" w:rsidRPr="26CB7624">
        <w:rPr>
          <w:rFonts w:ascii="Times New Roman" w:hAnsi="Times New Roman" w:cs="Times New Roman"/>
        </w:rPr>
        <w:t xml:space="preserve">the </w:t>
      </w:r>
      <w:r w:rsidRPr="26CB7624">
        <w:rPr>
          <w:rFonts w:ascii="Times New Roman" w:hAnsi="Times New Roman" w:cs="Times New Roman"/>
        </w:rPr>
        <w:t xml:space="preserve">recurring patterns </w:t>
      </w:r>
      <w:r w:rsidR="01D16C4B" w:rsidRPr="26CB7624">
        <w:rPr>
          <w:rFonts w:ascii="Times New Roman" w:hAnsi="Times New Roman" w:cs="Times New Roman"/>
        </w:rPr>
        <w:t>outlined</w:t>
      </w:r>
      <w:r w:rsidRPr="26CB7624">
        <w:rPr>
          <w:rFonts w:ascii="Times New Roman" w:hAnsi="Times New Roman" w:cs="Times New Roman"/>
        </w:rPr>
        <w:t>, it urges States and other actors to move beyond formal equality and adopt practical, consultative measures that accommodate diverse funeral practices, while strengthening prevention, protection and accountability so that violations around death and remembrance are neither ignored nor left unpunished.</w:t>
      </w:r>
    </w:p>
    <w:p w14:paraId="3B063915" w14:textId="77777777" w:rsidR="006958C4" w:rsidRPr="00833F9D" w:rsidRDefault="00804C2E" w:rsidP="2A6610DB">
      <w:pPr>
        <w:spacing w:after="80" w:line="240" w:lineRule="auto"/>
        <w:jc w:val="both"/>
        <w:rPr>
          <w:rFonts w:ascii="Times New Roman" w:hAnsi="Times New Roman" w:cs="Times New Roman"/>
          <w:color w:val="000000"/>
        </w:rPr>
      </w:pPr>
      <w:r w:rsidRPr="2A6610DB">
        <w:rPr>
          <w:rFonts w:ascii="Times New Roman" w:hAnsi="Times New Roman" w:cs="Times New Roman"/>
          <w:b/>
          <w:bCs/>
          <w:color w:val="000000" w:themeColor="text1"/>
        </w:rPr>
        <w:t>Suggested points of engagement for States during the interactive dialogue:</w:t>
      </w:r>
    </w:p>
    <w:p w14:paraId="78C8AC5F" w14:textId="480C620C" w:rsidR="004C46F9" w:rsidRPr="00833F9D" w:rsidRDefault="2C7E7855" w:rsidP="26CB7624">
      <w:pPr>
        <w:pStyle w:val="ListParagraph"/>
        <w:numPr>
          <w:ilvl w:val="0"/>
          <w:numId w:val="4"/>
        </w:numPr>
        <w:spacing w:after="80" w:line="240" w:lineRule="auto"/>
        <w:jc w:val="both"/>
        <w:rPr>
          <w:rFonts w:ascii="Times New Roman" w:eastAsia="Times New Roman" w:hAnsi="Times New Roman" w:cs="Times New Roman"/>
          <w:color w:val="000000"/>
        </w:rPr>
      </w:pPr>
      <w:r w:rsidRPr="26CB7624">
        <w:rPr>
          <w:rFonts w:ascii="Times New Roman" w:hAnsi="Times New Roman" w:cs="Times New Roman"/>
        </w:rPr>
        <w:t>What steps are being taken to ensure that all individuals and communities</w:t>
      </w:r>
      <w:r w:rsidR="2FE2844C" w:rsidRPr="26CB7624">
        <w:rPr>
          <w:rFonts w:ascii="Times New Roman" w:hAnsi="Times New Roman" w:cs="Times New Roman"/>
        </w:rPr>
        <w:t xml:space="preserve"> – </w:t>
      </w:r>
      <w:r w:rsidRPr="26CB7624">
        <w:rPr>
          <w:rFonts w:ascii="Times New Roman" w:hAnsi="Times New Roman" w:cs="Times New Roman"/>
        </w:rPr>
        <w:t>including</w:t>
      </w:r>
      <w:r w:rsidR="2FE2844C" w:rsidRPr="26CB7624">
        <w:rPr>
          <w:rFonts w:ascii="Times New Roman" w:hAnsi="Times New Roman" w:cs="Times New Roman"/>
        </w:rPr>
        <w:t xml:space="preserve"> </w:t>
      </w:r>
      <w:r w:rsidRPr="26CB7624">
        <w:rPr>
          <w:rFonts w:ascii="Times New Roman" w:hAnsi="Times New Roman" w:cs="Times New Roman"/>
        </w:rPr>
        <w:t xml:space="preserve">unregistered </w:t>
      </w:r>
      <w:r w:rsidR="402954A4" w:rsidRPr="26CB7624">
        <w:rPr>
          <w:rFonts w:ascii="Times New Roman" w:hAnsi="Times New Roman" w:cs="Times New Roman"/>
        </w:rPr>
        <w:t xml:space="preserve">religion and belief </w:t>
      </w:r>
      <w:r w:rsidRPr="26CB7624">
        <w:rPr>
          <w:rFonts w:ascii="Times New Roman" w:hAnsi="Times New Roman" w:cs="Times New Roman"/>
        </w:rPr>
        <w:t xml:space="preserve">minorities, Indigenous Peoples, </w:t>
      </w:r>
      <w:r w:rsidR="0DBE20F4" w:rsidRPr="26CB7624">
        <w:rPr>
          <w:rFonts w:ascii="Times New Roman" w:hAnsi="Times New Roman" w:cs="Times New Roman"/>
        </w:rPr>
        <w:t>Afro</w:t>
      </w:r>
      <w:r w:rsidR="14316B9F" w:rsidRPr="26CB7624">
        <w:rPr>
          <w:rFonts w:ascii="Times New Roman" w:hAnsi="Times New Roman" w:cs="Times New Roman"/>
        </w:rPr>
        <w:t>-</w:t>
      </w:r>
      <w:r w:rsidR="0DBE20F4" w:rsidRPr="26CB7624">
        <w:rPr>
          <w:rFonts w:ascii="Times New Roman" w:hAnsi="Times New Roman" w:cs="Times New Roman"/>
        </w:rPr>
        <w:t>de</w:t>
      </w:r>
      <w:r w:rsidR="44A6D96D" w:rsidRPr="26CB7624">
        <w:rPr>
          <w:rFonts w:ascii="Times New Roman" w:hAnsi="Times New Roman" w:cs="Times New Roman"/>
        </w:rPr>
        <w:t>s</w:t>
      </w:r>
      <w:r w:rsidR="0DBE20F4" w:rsidRPr="26CB7624">
        <w:rPr>
          <w:rFonts w:ascii="Times New Roman" w:hAnsi="Times New Roman" w:cs="Times New Roman"/>
        </w:rPr>
        <w:t>cend</w:t>
      </w:r>
      <w:r w:rsidR="163E550C" w:rsidRPr="26CB7624">
        <w:rPr>
          <w:rFonts w:ascii="Times New Roman" w:hAnsi="Times New Roman" w:cs="Times New Roman"/>
        </w:rPr>
        <w:t>a</w:t>
      </w:r>
      <w:r w:rsidR="0DBE20F4" w:rsidRPr="26CB7624">
        <w:rPr>
          <w:rFonts w:ascii="Times New Roman" w:hAnsi="Times New Roman" w:cs="Times New Roman"/>
        </w:rPr>
        <w:t>nt</w:t>
      </w:r>
      <w:r w:rsidRPr="26CB7624">
        <w:rPr>
          <w:rFonts w:ascii="Times New Roman" w:hAnsi="Times New Roman" w:cs="Times New Roman"/>
        </w:rPr>
        <w:t>s</w:t>
      </w:r>
      <w:r w:rsidR="197D4CFD" w:rsidRPr="26CB7624">
        <w:rPr>
          <w:rFonts w:ascii="Times New Roman" w:hAnsi="Times New Roman" w:cs="Times New Roman"/>
        </w:rPr>
        <w:t xml:space="preserve"> and the non-religious</w:t>
      </w:r>
      <w:r w:rsidR="36461671" w:rsidRPr="26CB7624">
        <w:rPr>
          <w:rFonts w:ascii="Times New Roman" w:hAnsi="Times New Roman" w:cs="Times New Roman"/>
        </w:rPr>
        <w:t xml:space="preserve"> – </w:t>
      </w:r>
      <w:r w:rsidRPr="26CB7624">
        <w:rPr>
          <w:rFonts w:ascii="Times New Roman" w:hAnsi="Times New Roman" w:cs="Times New Roman"/>
        </w:rPr>
        <w:t>can</w:t>
      </w:r>
      <w:r w:rsidR="36461671" w:rsidRPr="26CB7624">
        <w:rPr>
          <w:rFonts w:ascii="Times New Roman" w:hAnsi="Times New Roman" w:cs="Times New Roman"/>
        </w:rPr>
        <w:t xml:space="preserve"> </w:t>
      </w:r>
      <w:r w:rsidR="2C201744" w:rsidRPr="26CB7624">
        <w:rPr>
          <w:rFonts w:ascii="Times New Roman" w:hAnsi="Times New Roman" w:cs="Times New Roman"/>
        </w:rPr>
        <w:t>carry out funerals</w:t>
      </w:r>
      <w:r w:rsidRPr="26CB7624">
        <w:rPr>
          <w:rFonts w:ascii="Times New Roman" w:hAnsi="Times New Roman" w:cs="Times New Roman"/>
        </w:rPr>
        <w:t xml:space="preserve"> and commemorate the dead in accordance with their religion or belief, without coercion or discrimination?</w:t>
      </w:r>
      <w:r w:rsidR="64F81673" w:rsidRPr="26CB7624">
        <w:rPr>
          <w:rFonts w:ascii="Times New Roman" w:hAnsi="Times New Roman" w:cs="Times New Roman"/>
        </w:rPr>
        <w:t xml:space="preserve"> H</w:t>
      </w:r>
      <w:r w:rsidR="64F81673" w:rsidRPr="26CB7624">
        <w:rPr>
          <w:rFonts w:ascii="Times New Roman" w:eastAsia="Times New Roman" w:hAnsi="Times New Roman" w:cs="Times New Roman"/>
          <w:color w:val="000000" w:themeColor="text1"/>
        </w:rPr>
        <w:t>ow essential is it to institutionalize ongoing consultation with affected communities?</w:t>
      </w:r>
    </w:p>
    <w:p w14:paraId="4589BF3C" w14:textId="3E3D72C3" w:rsidR="003B42CE" w:rsidRPr="00833F9D" w:rsidRDefault="2C7E7855" w:rsidP="2A6610DB">
      <w:pPr>
        <w:pStyle w:val="ListParagraph"/>
        <w:numPr>
          <w:ilvl w:val="0"/>
          <w:numId w:val="4"/>
        </w:numPr>
        <w:spacing w:after="80" w:line="252" w:lineRule="auto"/>
        <w:jc w:val="both"/>
        <w:rPr>
          <w:rFonts w:ascii="Times New Roman" w:eastAsia="Times New Roman" w:hAnsi="Times New Roman" w:cs="Times New Roman"/>
          <w:color w:val="000000"/>
        </w:rPr>
      </w:pPr>
      <w:r w:rsidRPr="26CB7624">
        <w:rPr>
          <w:rFonts w:ascii="Times New Roman" w:eastAsia="Times New Roman" w:hAnsi="Times New Roman" w:cs="Times New Roman"/>
          <w:color w:val="000000" w:themeColor="text1"/>
        </w:rPr>
        <w:t xml:space="preserve">How </w:t>
      </w:r>
      <w:r w:rsidR="19712F84" w:rsidRPr="26CB7624">
        <w:rPr>
          <w:rFonts w:ascii="Times New Roman" w:eastAsia="Times New Roman" w:hAnsi="Times New Roman" w:cs="Times New Roman"/>
          <w:color w:val="000000" w:themeColor="text1"/>
        </w:rPr>
        <w:t>should</w:t>
      </w:r>
      <w:r w:rsidRPr="26CB7624">
        <w:rPr>
          <w:rFonts w:ascii="Times New Roman" w:eastAsia="Times New Roman" w:hAnsi="Times New Roman" w:cs="Times New Roman"/>
          <w:color w:val="000000" w:themeColor="text1"/>
        </w:rPr>
        <w:t xml:space="preserve"> domestic laws and local administrative</w:t>
      </w:r>
      <w:r w:rsidR="51D6EC88" w:rsidRPr="26CB7624">
        <w:rPr>
          <w:rFonts w:ascii="Times New Roman" w:eastAsia="Times New Roman" w:hAnsi="Times New Roman" w:cs="Times New Roman"/>
          <w:color w:val="000000" w:themeColor="text1"/>
        </w:rPr>
        <w:t xml:space="preserve"> and </w:t>
      </w:r>
      <w:r w:rsidRPr="26CB7624">
        <w:rPr>
          <w:rFonts w:ascii="Times New Roman" w:eastAsia="Times New Roman" w:hAnsi="Times New Roman" w:cs="Times New Roman"/>
          <w:color w:val="000000" w:themeColor="text1"/>
        </w:rPr>
        <w:t>zoning decisions accommodate diverse funeral practices in practice</w:t>
      </w:r>
      <w:r w:rsidR="4A265AB2" w:rsidRPr="26CB7624">
        <w:rPr>
          <w:rFonts w:ascii="Times New Roman" w:eastAsia="Times New Roman" w:hAnsi="Times New Roman" w:cs="Times New Roman"/>
          <w:color w:val="000000" w:themeColor="text1"/>
        </w:rPr>
        <w:t xml:space="preserve"> such as</w:t>
      </w:r>
      <w:r w:rsidRPr="26CB7624">
        <w:rPr>
          <w:rFonts w:ascii="Times New Roman" w:eastAsia="Times New Roman" w:hAnsi="Times New Roman" w:cs="Times New Roman"/>
          <w:color w:val="000000" w:themeColor="text1"/>
        </w:rPr>
        <w:t xml:space="preserve"> early burial, </w:t>
      </w:r>
      <w:r w:rsidR="25E4D268" w:rsidRPr="26CB7624">
        <w:rPr>
          <w:rFonts w:ascii="Times New Roman" w:eastAsia="Times New Roman" w:hAnsi="Times New Roman" w:cs="Times New Roman"/>
          <w:color w:val="000000" w:themeColor="text1"/>
        </w:rPr>
        <w:t>proximate</w:t>
      </w:r>
      <w:r w:rsidR="0B2DCBEC" w:rsidRPr="26CB7624">
        <w:rPr>
          <w:rFonts w:ascii="Times New Roman" w:eastAsia="Times New Roman" w:hAnsi="Times New Roman" w:cs="Times New Roman"/>
          <w:color w:val="000000" w:themeColor="text1"/>
        </w:rPr>
        <w:t xml:space="preserve"> burials, </w:t>
      </w:r>
      <w:r w:rsidR="6061CF0E" w:rsidRPr="26CB7624">
        <w:rPr>
          <w:rFonts w:ascii="Times New Roman" w:eastAsia="Times New Roman" w:hAnsi="Times New Roman" w:cs="Times New Roman"/>
          <w:color w:val="000000" w:themeColor="text1"/>
        </w:rPr>
        <w:t>facilities for the preparation of the body</w:t>
      </w:r>
      <w:r w:rsidRPr="26CB7624">
        <w:rPr>
          <w:rFonts w:ascii="Times New Roman" w:eastAsia="Times New Roman" w:hAnsi="Times New Roman" w:cs="Times New Roman"/>
          <w:color w:val="000000" w:themeColor="text1"/>
        </w:rPr>
        <w:t>, cremation</w:t>
      </w:r>
      <w:r w:rsidR="2CBBFDC4" w:rsidRPr="26CB7624">
        <w:rPr>
          <w:rFonts w:ascii="Times New Roman" w:eastAsia="Times New Roman" w:hAnsi="Times New Roman" w:cs="Times New Roman"/>
          <w:color w:val="000000" w:themeColor="text1"/>
        </w:rPr>
        <w:t xml:space="preserve"> and </w:t>
      </w:r>
      <w:r w:rsidR="7BD4B701" w:rsidRPr="26CB7624">
        <w:rPr>
          <w:rFonts w:ascii="Times New Roman" w:eastAsia="Times New Roman" w:hAnsi="Times New Roman" w:cs="Times New Roman"/>
          <w:color w:val="000000" w:themeColor="text1"/>
        </w:rPr>
        <w:t xml:space="preserve">the </w:t>
      </w:r>
      <w:r w:rsidRPr="26CB7624">
        <w:rPr>
          <w:rFonts w:ascii="Times New Roman" w:eastAsia="Times New Roman" w:hAnsi="Times New Roman" w:cs="Times New Roman"/>
          <w:color w:val="000000" w:themeColor="text1"/>
        </w:rPr>
        <w:t xml:space="preserve">scattering of ashes, </w:t>
      </w:r>
      <w:r w:rsidR="5B620EA6" w:rsidRPr="26CB7624">
        <w:rPr>
          <w:rFonts w:ascii="Times New Roman" w:eastAsia="Times New Roman" w:hAnsi="Times New Roman" w:cs="Times New Roman"/>
          <w:color w:val="000000" w:themeColor="text1"/>
        </w:rPr>
        <w:t xml:space="preserve">and </w:t>
      </w:r>
      <w:r w:rsidRPr="26CB7624">
        <w:rPr>
          <w:rFonts w:ascii="Times New Roman" w:eastAsia="Times New Roman" w:hAnsi="Times New Roman" w:cs="Times New Roman"/>
          <w:color w:val="000000" w:themeColor="text1"/>
        </w:rPr>
        <w:t>secular ceremonies</w:t>
      </w:r>
      <w:r w:rsidR="6422A439" w:rsidRPr="26CB7624">
        <w:rPr>
          <w:rFonts w:ascii="Times New Roman" w:eastAsia="Times New Roman" w:hAnsi="Times New Roman" w:cs="Times New Roman"/>
          <w:color w:val="000000" w:themeColor="text1"/>
        </w:rPr>
        <w:t>?</w:t>
      </w:r>
    </w:p>
    <w:p w14:paraId="6CE54531" w14:textId="31A792D9" w:rsidR="42B8CA6E" w:rsidRDefault="42B8CA6E" w:rsidP="26CB7624">
      <w:pPr>
        <w:pStyle w:val="ListParagraph"/>
        <w:numPr>
          <w:ilvl w:val="0"/>
          <w:numId w:val="4"/>
        </w:numPr>
        <w:spacing w:after="80" w:line="252" w:lineRule="auto"/>
        <w:jc w:val="both"/>
        <w:rPr>
          <w:rFonts w:ascii="Times New Roman" w:hAnsi="Times New Roman" w:cs="Times New Roman"/>
        </w:rPr>
      </w:pPr>
      <w:r w:rsidRPr="26CB7624">
        <w:rPr>
          <w:rFonts w:ascii="Times New Roman" w:hAnsi="Times New Roman" w:cs="Times New Roman"/>
        </w:rPr>
        <w:t>What measures can States take to respect, protect, fulfil, promote and provide accountability for funeral rights?</w:t>
      </w:r>
    </w:p>
    <w:p w14:paraId="407684F2" w14:textId="7A3A52A2" w:rsidR="1144EEE7" w:rsidRDefault="1144EEE7" w:rsidP="26CB7624">
      <w:pPr>
        <w:pStyle w:val="ListParagraph"/>
        <w:numPr>
          <w:ilvl w:val="0"/>
          <w:numId w:val="4"/>
        </w:numPr>
        <w:spacing w:after="80" w:line="252" w:lineRule="auto"/>
        <w:jc w:val="both"/>
        <w:rPr>
          <w:rFonts w:ascii="Times New Roman" w:eastAsia="Times New Roman" w:hAnsi="Times New Roman" w:cs="Times New Roman"/>
          <w:color w:val="000000" w:themeColor="text1"/>
        </w:rPr>
      </w:pPr>
      <w:r w:rsidRPr="26CB7624">
        <w:rPr>
          <w:rFonts w:ascii="Times New Roman" w:eastAsia="Times New Roman" w:hAnsi="Times New Roman" w:cs="Times New Roman"/>
          <w:color w:val="000000" w:themeColor="text1"/>
        </w:rPr>
        <w:t>What measures are in place to prevent, investigate and prosecute interference with funerals and hate-motivated attacks or desecration of cemeteries and burial sites, and to provide effective remedies and restoration?</w:t>
      </w:r>
    </w:p>
    <w:sectPr w:rsidR="1144EEE7"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23D8" w14:textId="77777777" w:rsidR="00F354F7" w:rsidRDefault="00F354F7" w:rsidP="00DA7C55">
      <w:pPr>
        <w:spacing w:after="0" w:line="240" w:lineRule="auto"/>
      </w:pPr>
      <w:r>
        <w:separator/>
      </w:r>
    </w:p>
  </w:endnote>
  <w:endnote w:type="continuationSeparator" w:id="0">
    <w:p w14:paraId="25FC0542" w14:textId="77777777" w:rsidR="00F354F7" w:rsidRDefault="00F354F7"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7DD5" w14:textId="77777777"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CF89" w14:textId="77777777" w:rsidR="00F354F7" w:rsidRDefault="00F354F7" w:rsidP="00DA7C55">
      <w:pPr>
        <w:spacing w:after="0" w:line="240" w:lineRule="auto"/>
      </w:pPr>
      <w:r>
        <w:separator/>
      </w:r>
    </w:p>
  </w:footnote>
  <w:footnote w:type="continuationSeparator" w:id="0">
    <w:p w14:paraId="1B851FC9" w14:textId="77777777" w:rsidR="00F354F7" w:rsidRDefault="00F354F7"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2C30B1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D5D76"/>
    <w:rsid w:val="000E1B11"/>
    <w:rsid w:val="000F59FC"/>
    <w:rsid w:val="00120BA6"/>
    <w:rsid w:val="001332E5"/>
    <w:rsid w:val="001365EE"/>
    <w:rsid w:val="00137474"/>
    <w:rsid w:val="001621A2"/>
    <w:rsid w:val="00226071"/>
    <w:rsid w:val="0025498D"/>
    <w:rsid w:val="002802C5"/>
    <w:rsid w:val="00280495"/>
    <w:rsid w:val="0029734A"/>
    <w:rsid w:val="002D6FB9"/>
    <w:rsid w:val="002F406E"/>
    <w:rsid w:val="00330EB2"/>
    <w:rsid w:val="00355423"/>
    <w:rsid w:val="0036670A"/>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472B5"/>
    <w:rsid w:val="00573067"/>
    <w:rsid w:val="0057669A"/>
    <w:rsid w:val="00580934"/>
    <w:rsid w:val="005A0F0E"/>
    <w:rsid w:val="005A33E2"/>
    <w:rsid w:val="00613709"/>
    <w:rsid w:val="006309EF"/>
    <w:rsid w:val="00662DC6"/>
    <w:rsid w:val="006958C4"/>
    <w:rsid w:val="006A3FD6"/>
    <w:rsid w:val="00712749"/>
    <w:rsid w:val="0072728D"/>
    <w:rsid w:val="00742D3E"/>
    <w:rsid w:val="00783F72"/>
    <w:rsid w:val="00804C2E"/>
    <w:rsid w:val="00833F9D"/>
    <w:rsid w:val="008344E8"/>
    <w:rsid w:val="00870D8C"/>
    <w:rsid w:val="0089264A"/>
    <w:rsid w:val="008B7142"/>
    <w:rsid w:val="00900162"/>
    <w:rsid w:val="00912752"/>
    <w:rsid w:val="009277D3"/>
    <w:rsid w:val="0095525A"/>
    <w:rsid w:val="009838AA"/>
    <w:rsid w:val="009D2EB2"/>
    <w:rsid w:val="009F0D95"/>
    <w:rsid w:val="00A0134F"/>
    <w:rsid w:val="00A06072"/>
    <w:rsid w:val="00A30249"/>
    <w:rsid w:val="00A54EBE"/>
    <w:rsid w:val="00A73EB4"/>
    <w:rsid w:val="00AA17A8"/>
    <w:rsid w:val="00AD6966"/>
    <w:rsid w:val="00AE684C"/>
    <w:rsid w:val="00B45CC8"/>
    <w:rsid w:val="00B551E7"/>
    <w:rsid w:val="00B76262"/>
    <w:rsid w:val="00B94654"/>
    <w:rsid w:val="00B95D2A"/>
    <w:rsid w:val="00BA5B91"/>
    <w:rsid w:val="00BA72C9"/>
    <w:rsid w:val="00BB2AAE"/>
    <w:rsid w:val="00BB7EB0"/>
    <w:rsid w:val="00BD1272"/>
    <w:rsid w:val="00C035FF"/>
    <w:rsid w:val="00C81684"/>
    <w:rsid w:val="00C95166"/>
    <w:rsid w:val="00CD15CE"/>
    <w:rsid w:val="00D11F29"/>
    <w:rsid w:val="00D55023"/>
    <w:rsid w:val="00D55799"/>
    <w:rsid w:val="00D71801"/>
    <w:rsid w:val="00DA7C55"/>
    <w:rsid w:val="00E00135"/>
    <w:rsid w:val="00E15D7C"/>
    <w:rsid w:val="00E3404E"/>
    <w:rsid w:val="00EF42E0"/>
    <w:rsid w:val="00EF7908"/>
    <w:rsid w:val="00F14182"/>
    <w:rsid w:val="00F31CF9"/>
    <w:rsid w:val="00F354F7"/>
    <w:rsid w:val="00F95039"/>
    <w:rsid w:val="00FB5AAF"/>
    <w:rsid w:val="00FC2E2C"/>
    <w:rsid w:val="00FE0A74"/>
    <w:rsid w:val="01143443"/>
    <w:rsid w:val="01D16C4B"/>
    <w:rsid w:val="026ACD0E"/>
    <w:rsid w:val="029A49F1"/>
    <w:rsid w:val="03073EAB"/>
    <w:rsid w:val="0447C7DA"/>
    <w:rsid w:val="04528BAF"/>
    <w:rsid w:val="04E17886"/>
    <w:rsid w:val="056F4BEF"/>
    <w:rsid w:val="05757392"/>
    <w:rsid w:val="06181198"/>
    <w:rsid w:val="06BB5D14"/>
    <w:rsid w:val="072C04D1"/>
    <w:rsid w:val="07A8E990"/>
    <w:rsid w:val="085EB5A1"/>
    <w:rsid w:val="0959C6BA"/>
    <w:rsid w:val="09CB0A80"/>
    <w:rsid w:val="09D3769D"/>
    <w:rsid w:val="0AE657F6"/>
    <w:rsid w:val="0B2DCBEC"/>
    <w:rsid w:val="0B5C648D"/>
    <w:rsid w:val="0B5E9DB1"/>
    <w:rsid w:val="0C56872E"/>
    <w:rsid w:val="0DBE20F4"/>
    <w:rsid w:val="0E38E31C"/>
    <w:rsid w:val="1053A3C7"/>
    <w:rsid w:val="1131D618"/>
    <w:rsid w:val="1144EEE7"/>
    <w:rsid w:val="1186A198"/>
    <w:rsid w:val="11880AB7"/>
    <w:rsid w:val="124DA3CC"/>
    <w:rsid w:val="1412074C"/>
    <w:rsid w:val="14316B9F"/>
    <w:rsid w:val="148F2285"/>
    <w:rsid w:val="1631C6C8"/>
    <w:rsid w:val="163E550C"/>
    <w:rsid w:val="174F2815"/>
    <w:rsid w:val="17D1B592"/>
    <w:rsid w:val="19712F84"/>
    <w:rsid w:val="197D4CFD"/>
    <w:rsid w:val="19BB112D"/>
    <w:rsid w:val="1B62D9A7"/>
    <w:rsid w:val="1CB0FF8F"/>
    <w:rsid w:val="1F3B6F89"/>
    <w:rsid w:val="2171BE33"/>
    <w:rsid w:val="21E83636"/>
    <w:rsid w:val="22A9C5B9"/>
    <w:rsid w:val="2354A56F"/>
    <w:rsid w:val="245AA504"/>
    <w:rsid w:val="2461969E"/>
    <w:rsid w:val="25C97A1E"/>
    <w:rsid w:val="25E4D268"/>
    <w:rsid w:val="26C095C8"/>
    <w:rsid w:val="26CB7624"/>
    <w:rsid w:val="2A6610DB"/>
    <w:rsid w:val="2AACED92"/>
    <w:rsid w:val="2B7B1504"/>
    <w:rsid w:val="2C201744"/>
    <w:rsid w:val="2C379BB7"/>
    <w:rsid w:val="2C7E7855"/>
    <w:rsid w:val="2CBBFDC4"/>
    <w:rsid w:val="2DBF4EB2"/>
    <w:rsid w:val="2E137784"/>
    <w:rsid w:val="2EB2B53B"/>
    <w:rsid w:val="2F2567E0"/>
    <w:rsid w:val="2FE2844C"/>
    <w:rsid w:val="30B6B184"/>
    <w:rsid w:val="3168D333"/>
    <w:rsid w:val="31D18E4C"/>
    <w:rsid w:val="31ED1168"/>
    <w:rsid w:val="31F89F11"/>
    <w:rsid w:val="359E41CE"/>
    <w:rsid w:val="35DA7A3F"/>
    <w:rsid w:val="36111E71"/>
    <w:rsid w:val="36461671"/>
    <w:rsid w:val="3703AE98"/>
    <w:rsid w:val="3B24FA2E"/>
    <w:rsid w:val="3CF4257E"/>
    <w:rsid w:val="3D99414A"/>
    <w:rsid w:val="400BCD2F"/>
    <w:rsid w:val="4016E324"/>
    <w:rsid w:val="402954A4"/>
    <w:rsid w:val="410955FC"/>
    <w:rsid w:val="429169CC"/>
    <w:rsid w:val="42B8CA6E"/>
    <w:rsid w:val="43530435"/>
    <w:rsid w:val="43A2542C"/>
    <w:rsid w:val="44A6D96D"/>
    <w:rsid w:val="44D08FB8"/>
    <w:rsid w:val="465A4393"/>
    <w:rsid w:val="47D737AB"/>
    <w:rsid w:val="47FEA823"/>
    <w:rsid w:val="486DD81A"/>
    <w:rsid w:val="487E618F"/>
    <w:rsid w:val="498D1F0A"/>
    <w:rsid w:val="4A265AB2"/>
    <w:rsid w:val="4A4BF258"/>
    <w:rsid w:val="4D51BD4F"/>
    <w:rsid w:val="4E53084C"/>
    <w:rsid w:val="51D6EC88"/>
    <w:rsid w:val="532C1C4E"/>
    <w:rsid w:val="5372257B"/>
    <w:rsid w:val="5392CA21"/>
    <w:rsid w:val="546115A7"/>
    <w:rsid w:val="54DC45E6"/>
    <w:rsid w:val="5503FAB6"/>
    <w:rsid w:val="5551DB9D"/>
    <w:rsid w:val="5878FEF5"/>
    <w:rsid w:val="590BDA21"/>
    <w:rsid w:val="59E3EA65"/>
    <w:rsid w:val="5B43ACD5"/>
    <w:rsid w:val="5B620EA6"/>
    <w:rsid w:val="5B647C85"/>
    <w:rsid w:val="5B8295AA"/>
    <w:rsid w:val="5BEBE7FD"/>
    <w:rsid w:val="5D8F7236"/>
    <w:rsid w:val="5DF63D3E"/>
    <w:rsid w:val="5E1833B4"/>
    <w:rsid w:val="5F361571"/>
    <w:rsid w:val="6061CF0E"/>
    <w:rsid w:val="61E3C9FB"/>
    <w:rsid w:val="63CEE5F3"/>
    <w:rsid w:val="6422A439"/>
    <w:rsid w:val="64F81673"/>
    <w:rsid w:val="658263A1"/>
    <w:rsid w:val="66A6A98E"/>
    <w:rsid w:val="66AFE031"/>
    <w:rsid w:val="66B0640C"/>
    <w:rsid w:val="67273C8C"/>
    <w:rsid w:val="67415340"/>
    <w:rsid w:val="6843D448"/>
    <w:rsid w:val="68565D70"/>
    <w:rsid w:val="6B11D04D"/>
    <w:rsid w:val="6B2FB8C0"/>
    <w:rsid w:val="6B6C9067"/>
    <w:rsid w:val="6B782AB9"/>
    <w:rsid w:val="6C241292"/>
    <w:rsid w:val="6C4FA5B8"/>
    <w:rsid w:val="6D357B34"/>
    <w:rsid w:val="6D8E524B"/>
    <w:rsid w:val="6DAE06CF"/>
    <w:rsid w:val="6E00AD5F"/>
    <w:rsid w:val="6E1A1342"/>
    <w:rsid w:val="6FF8862E"/>
    <w:rsid w:val="71005C3A"/>
    <w:rsid w:val="7158C6D8"/>
    <w:rsid w:val="724CB449"/>
    <w:rsid w:val="72E02217"/>
    <w:rsid w:val="738D62F7"/>
    <w:rsid w:val="739C5A37"/>
    <w:rsid w:val="73A77C22"/>
    <w:rsid w:val="74B1438F"/>
    <w:rsid w:val="74F41EFB"/>
    <w:rsid w:val="7546307C"/>
    <w:rsid w:val="754F780B"/>
    <w:rsid w:val="75B4EA50"/>
    <w:rsid w:val="75DAB1BB"/>
    <w:rsid w:val="7680BF0F"/>
    <w:rsid w:val="76D1E829"/>
    <w:rsid w:val="7835B091"/>
    <w:rsid w:val="78D90BAC"/>
    <w:rsid w:val="799E2615"/>
    <w:rsid w:val="7A76B904"/>
    <w:rsid w:val="7B31792F"/>
    <w:rsid w:val="7BD4B701"/>
    <w:rsid w:val="7D2E937B"/>
    <w:rsid w:val="7E19AFB5"/>
    <w:rsid w:val="7F0B2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7138"/>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84CF7-010C-4C7C-85FF-EC1156DD51E6}"/>
</file>

<file path=customXml/itemProps2.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 ds:uri="82b5ea08-1739-40b4-87ce-9675b05f60fe"/>
    <ds:schemaRef ds:uri="4ce953a1-3c33-41c5-8b5e-e0c11e90d59c"/>
  </ds:schemaRefs>
</ds:datastoreItem>
</file>

<file path=customXml/itemProps3.xml><?xml version="1.0" encoding="utf-8"?>
<ds:datastoreItem xmlns:ds="http://schemas.openxmlformats.org/officeDocument/2006/customXml" ds:itemID="{D94E52DC-6347-41FF-91EC-ACD636D4653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Helle Iversen</cp:lastModifiedBy>
  <cp:revision>5</cp:revision>
  <dcterms:created xsi:type="dcterms:W3CDTF">2026-02-24T11:25:00Z</dcterms:created>
  <dcterms:modified xsi:type="dcterms:W3CDTF">2026-02-24T11:27:00Z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y fmtid="{D5CDD505-2E9C-101B-9397-08002B2CF9AE}" pid="3" name="MediaServiceImageTags">
    <vt:lpwstr/>
  </property>
</Properties>
</file>