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02740F" w14:paraId="5A728AFE" w14:textId="77777777">
        <w:trPr>
          <w:trHeight w:val="851"/>
        </w:trPr>
        <w:tc>
          <w:tcPr>
            <w:tcW w:w="1259" w:type="dxa"/>
            <w:tcBorders>
              <w:top w:val="nil"/>
              <w:left w:val="nil"/>
              <w:bottom w:val="single" w:sz="4" w:space="0" w:color="auto"/>
              <w:right w:val="nil"/>
            </w:tcBorders>
          </w:tcPr>
          <w:p w14:paraId="00A8364C" w14:textId="77777777" w:rsidR="0002740F" w:rsidRPr="006840A0" w:rsidRDefault="0002740F" w:rsidP="0002740F">
            <w:pPr>
              <w:tabs>
                <w:tab w:val="right" w:pos="850"/>
                <w:tab w:val="left" w:pos="1134"/>
                <w:tab w:val="right" w:leader="dot" w:pos="8504"/>
              </w:tabs>
              <w:spacing w:line="20" w:lineRule="exact"/>
              <w:rPr>
                <w:sz w:val="2"/>
              </w:rPr>
            </w:pPr>
          </w:p>
          <w:p w14:paraId="5037BE9A" w14:textId="77777777" w:rsidR="0002740F" w:rsidRPr="00E806EE" w:rsidRDefault="0002740F" w:rsidP="0002740F">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0597EE3F" w14:textId="77777777" w:rsidR="0002740F" w:rsidRPr="00963CBA" w:rsidRDefault="0002740F" w:rsidP="0002740F">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309B8CBA" w14:textId="67FA5064" w:rsidR="0002740F" w:rsidRPr="00DE3EC0" w:rsidRDefault="0002740F" w:rsidP="00F440D5">
            <w:pPr>
              <w:jc w:val="right"/>
            </w:pPr>
            <w:r w:rsidRPr="00EE2A77">
              <w:rPr>
                <w:sz w:val="40"/>
              </w:rPr>
              <w:t>A</w:t>
            </w:r>
            <w:r>
              <w:t>/HRC/RES/61</w:t>
            </w:r>
            <w:r w:rsidRPr="00BA3A44">
              <w:t>/</w:t>
            </w:r>
            <w:r>
              <w:t>…</w:t>
            </w:r>
          </w:p>
        </w:tc>
      </w:tr>
      <w:tr w:rsidR="0002740F" w14:paraId="72B0A072" w14:textId="77777777">
        <w:trPr>
          <w:trHeight w:val="2835"/>
        </w:trPr>
        <w:tc>
          <w:tcPr>
            <w:tcW w:w="1259" w:type="dxa"/>
            <w:tcBorders>
              <w:top w:val="single" w:sz="4" w:space="0" w:color="auto"/>
              <w:left w:val="nil"/>
              <w:bottom w:val="single" w:sz="12" w:space="0" w:color="auto"/>
              <w:right w:val="nil"/>
            </w:tcBorders>
          </w:tcPr>
          <w:p w14:paraId="774B20CA" w14:textId="77777777" w:rsidR="0002740F" w:rsidRDefault="0002740F" w:rsidP="0002740F">
            <w:pPr>
              <w:spacing w:before="120"/>
              <w:jc w:val="center"/>
            </w:pPr>
            <w:r>
              <w:rPr>
                <w:noProof/>
                <w:lang w:val="ru-RU" w:eastAsia="ru-RU"/>
              </w:rPr>
              <w:drawing>
                <wp:inline distT="0" distB="0" distL="0" distR="0" wp14:anchorId="5AA6436C" wp14:editId="37755FA0">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1835E284" w14:textId="77777777" w:rsidR="0002740F" w:rsidRPr="00B3317B" w:rsidRDefault="0002740F" w:rsidP="0002740F">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14:paraId="663FA29D" w14:textId="77777777" w:rsidR="0002740F" w:rsidRDefault="0002740F" w:rsidP="0002740F">
            <w:pPr>
              <w:spacing w:before="240" w:line="240" w:lineRule="exact"/>
            </w:pPr>
            <w:r>
              <w:t>Distr.: General</w:t>
            </w:r>
          </w:p>
          <w:p w14:paraId="324E57DF" w14:textId="08EAFFB9" w:rsidR="0002740F" w:rsidRPr="00BA3A44" w:rsidRDefault="0002740F" w:rsidP="0002740F">
            <w:pPr>
              <w:spacing w:line="240" w:lineRule="exact"/>
              <w:rPr>
                <w:strike/>
              </w:rPr>
            </w:pPr>
          </w:p>
          <w:p w14:paraId="028DE300" w14:textId="77777777" w:rsidR="0002740F" w:rsidRDefault="0002740F" w:rsidP="0002740F">
            <w:pPr>
              <w:spacing w:line="240" w:lineRule="exact"/>
            </w:pPr>
          </w:p>
          <w:p w14:paraId="184A3A70" w14:textId="77777777" w:rsidR="0002740F" w:rsidRDefault="0002740F" w:rsidP="0002740F">
            <w:pPr>
              <w:spacing w:line="240" w:lineRule="exact"/>
            </w:pPr>
            <w:r>
              <w:t>Original: English</w:t>
            </w:r>
          </w:p>
        </w:tc>
      </w:tr>
    </w:tbl>
    <w:p w14:paraId="7D082A60" w14:textId="77777777" w:rsidR="00EE2A77" w:rsidRDefault="00EE2A77" w:rsidP="00EE2A77">
      <w:pPr>
        <w:spacing w:before="120"/>
        <w:rPr>
          <w:b/>
          <w:sz w:val="24"/>
          <w:szCs w:val="24"/>
        </w:rPr>
      </w:pPr>
      <w:r>
        <w:rPr>
          <w:b/>
          <w:sz w:val="24"/>
          <w:szCs w:val="24"/>
        </w:rPr>
        <w:t>Human Rights Council</w:t>
      </w:r>
    </w:p>
    <w:p w14:paraId="3D4E938B" w14:textId="3A610532" w:rsidR="00EE2A77" w:rsidRPr="00BA3A44" w:rsidRDefault="0002740F" w:rsidP="00EE2A77">
      <w:pPr>
        <w:rPr>
          <w:strike/>
        </w:rPr>
      </w:pPr>
      <w:r w:rsidRPr="00F440D5">
        <w:t>Sixty-first session</w:t>
      </w:r>
    </w:p>
    <w:p w14:paraId="0A7F2047" w14:textId="77777777" w:rsidR="00EE2A77" w:rsidRDefault="00EE2A77" w:rsidP="00EE2A77">
      <w:r>
        <w:t>Agenda item 3</w:t>
      </w:r>
    </w:p>
    <w:p w14:paraId="4A060308" w14:textId="77777777" w:rsidR="0002740F" w:rsidRDefault="0002740F" w:rsidP="00EE2A77">
      <w:pPr>
        <w:rPr>
          <w:b/>
        </w:rPr>
      </w:pPr>
      <w:r w:rsidRPr="00533C25">
        <w:rPr>
          <w:b/>
        </w:rPr>
        <w:t>Promotion and</w:t>
      </w:r>
      <w:r>
        <w:rPr>
          <w:b/>
        </w:rPr>
        <w:t xml:space="preserve"> protection of all human rights, civil,</w:t>
      </w:r>
      <w:r>
        <w:rPr>
          <w:b/>
        </w:rPr>
        <w:br/>
      </w:r>
      <w:r w:rsidRPr="00533C25">
        <w:rPr>
          <w:b/>
        </w:rPr>
        <w:t>political, economic,</w:t>
      </w:r>
      <w:r>
        <w:rPr>
          <w:b/>
        </w:rPr>
        <w:t xml:space="preserve"> social and cultural rights,</w:t>
      </w:r>
      <w:r>
        <w:rPr>
          <w:b/>
        </w:rPr>
        <w:br/>
      </w:r>
      <w:r w:rsidRPr="00533C25">
        <w:rPr>
          <w:b/>
        </w:rPr>
        <w:t>including the right to development</w:t>
      </w:r>
    </w:p>
    <w:p w14:paraId="63AF2F6F" w14:textId="77777777" w:rsidR="0002740F" w:rsidRDefault="0002740F" w:rsidP="00EE2A77">
      <w:pPr>
        <w:rPr>
          <w:b/>
        </w:rPr>
      </w:pPr>
    </w:p>
    <w:p w14:paraId="52BB93E2" w14:textId="77777777" w:rsidR="0002740F" w:rsidRDefault="0002740F" w:rsidP="00BA3A44">
      <w:pPr>
        <w:ind w:left="1701"/>
      </w:pPr>
    </w:p>
    <w:p w14:paraId="012527C9" w14:textId="77777777" w:rsidR="0002740F" w:rsidRDefault="0002740F" w:rsidP="00BA3A44">
      <w:pPr>
        <w:ind w:left="1701"/>
      </w:pPr>
      <w:r>
        <w:t xml:space="preserve">The </w:t>
      </w:r>
      <w:r w:rsidRPr="00533515">
        <w:t>Russian Federation</w:t>
      </w:r>
      <w:r>
        <w:t>, the Republic of Belarus,</w:t>
      </w:r>
      <w:r w:rsidRPr="003551F3">
        <w:t xml:space="preserve"> the Federal Democratic Republic of Ethiopia</w:t>
      </w:r>
      <w:r>
        <w:t>,</w:t>
      </w:r>
    </w:p>
    <w:p w14:paraId="097405F7" w14:textId="77777777" w:rsidR="0002740F" w:rsidRDefault="0002740F" w:rsidP="00BA3A44">
      <w:pPr>
        <w:ind w:left="1701"/>
      </w:pPr>
      <w:r>
        <w:t>the Republic of Mali and the Bolivarian Republic of Venezuela: draft resolution</w:t>
      </w:r>
    </w:p>
    <w:p w14:paraId="2DE321BD" w14:textId="30C1671E" w:rsidR="002F006E" w:rsidRPr="007A45D3" w:rsidRDefault="002F006E" w:rsidP="002F006E">
      <w:pPr>
        <w:pStyle w:val="H1G"/>
      </w:pPr>
      <w:bookmarkStart w:id="0" w:name="_GoBack"/>
      <w:bookmarkEnd w:id="0"/>
      <w:r>
        <w:tab/>
      </w:r>
      <w:r>
        <w:tab/>
      </w:r>
      <w:r w:rsidR="0002740F">
        <w:t>61/…</w:t>
      </w:r>
      <w:r w:rsidR="00962C06">
        <w:tab/>
      </w:r>
      <w:r w:rsidR="00BD35F1" w:rsidRPr="00012B31">
        <w:t>Sixtieth anniversary of the adoption of the International Covenants on Human Rights</w:t>
      </w:r>
    </w:p>
    <w:p w14:paraId="7D920A1A" w14:textId="7B5CD03C" w:rsidR="002F006E" w:rsidRPr="00BA3A44" w:rsidRDefault="002F006E" w:rsidP="002D563C">
      <w:pPr>
        <w:pStyle w:val="SingleTxtG"/>
        <w:rPr>
          <w:i/>
        </w:rPr>
      </w:pPr>
      <w:r>
        <w:tab/>
      </w:r>
      <w:r w:rsidR="001D6DD6">
        <w:tab/>
      </w:r>
      <w:r w:rsidRPr="00BA3A44">
        <w:rPr>
          <w:i/>
        </w:rPr>
        <w:t>The Human Rights Council</w:t>
      </w:r>
      <w:r w:rsidRPr="00BA3A44">
        <w:t>,</w:t>
      </w:r>
    </w:p>
    <w:p w14:paraId="669A7B5B" w14:textId="77777777" w:rsidR="002D563C" w:rsidRPr="00BA3A44" w:rsidRDefault="002D563C" w:rsidP="002D563C">
      <w:pPr>
        <w:pStyle w:val="SingleTxtG"/>
        <w:ind w:firstLine="567"/>
      </w:pPr>
      <w:r w:rsidRPr="00BA3A44">
        <w:rPr>
          <w:i/>
        </w:rPr>
        <w:t>Guided</w:t>
      </w:r>
      <w:r w:rsidRPr="00BA3A44">
        <w:t xml:space="preserve"> by the purposes, principles and provisions of the Charter of the United Nations,</w:t>
      </w:r>
    </w:p>
    <w:p w14:paraId="4F7B5243" w14:textId="77777777" w:rsidR="002D563C" w:rsidRPr="00BA3A44" w:rsidRDefault="002D563C" w:rsidP="002D563C">
      <w:pPr>
        <w:pStyle w:val="SingleTxtG"/>
        <w:ind w:firstLine="567"/>
      </w:pPr>
      <w:r w:rsidRPr="00BA3A44">
        <w:rPr>
          <w:i/>
        </w:rPr>
        <w:t>Mindful</w:t>
      </w:r>
      <w:r w:rsidRPr="00BA3A44">
        <w:t xml:space="preserve"> that the International Covenants on Human Rights constitute the first all-embracing and legally binding international treaties in the field of human rights and, together with the Universal Declaration of Human Rights, form the core of the International Bill of Human Rights,</w:t>
      </w:r>
    </w:p>
    <w:p w14:paraId="490FA603" w14:textId="14B9BBD9" w:rsidR="002D563C" w:rsidRPr="00BA3A44" w:rsidRDefault="002D563C" w:rsidP="002D563C">
      <w:pPr>
        <w:pStyle w:val="SingleTxtG"/>
        <w:ind w:firstLine="567"/>
      </w:pPr>
      <w:r w:rsidRPr="00BA3A44">
        <w:rPr>
          <w:i/>
        </w:rPr>
        <w:t>Recalling</w:t>
      </w:r>
      <w:r w:rsidRPr="00BA3A44">
        <w:t xml:space="preserve"> that </w:t>
      </w:r>
      <w:r w:rsidR="00BD35F1" w:rsidRPr="00BA3A44">
        <w:t xml:space="preserve">2026 marks </w:t>
      </w:r>
      <w:r w:rsidRPr="00BA3A44">
        <w:t xml:space="preserve">the </w:t>
      </w:r>
      <w:r w:rsidR="00BD35F1" w:rsidRPr="00BA3A44">
        <w:t>sixtieth</w:t>
      </w:r>
      <w:r w:rsidRPr="00BA3A44">
        <w:t xml:space="preserve"> anniversary of the adoption of the International Covenant on Economic, Social and Cultural Rights and the International Covenant on Civil and Political Rights by the General Assembly </w:t>
      </w:r>
      <w:r w:rsidR="003A1ABC" w:rsidRPr="00BA3A44">
        <w:t xml:space="preserve">in its </w:t>
      </w:r>
      <w:r w:rsidRPr="00BA3A44">
        <w:t>resolution 2200 (XXI) on 16 December 1966</w:t>
      </w:r>
      <w:r w:rsidR="003A1ABC" w:rsidRPr="00BA3A44">
        <w:t>,</w:t>
      </w:r>
      <w:r w:rsidRPr="00BA3A44">
        <w:t xml:space="preserve"> and acknowledging the fundamental importance and special status of these basic human rights instruments of the United Nations,</w:t>
      </w:r>
    </w:p>
    <w:p w14:paraId="3088C96E" w14:textId="0C4457FF" w:rsidR="00CD33B9" w:rsidRPr="00BA3A44" w:rsidRDefault="00CD33B9" w:rsidP="002D563C">
      <w:pPr>
        <w:pStyle w:val="SingleTxtG"/>
        <w:ind w:firstLine="567"/>
        <w:rPr>
          <w:i/>
        </w:rPr>
      </w:pPr>
      <w:r w:rsidRPr="00BA3A44">
        <w:rPr>
          <w:i/>
          <w:color w:val="000000" w:themeColor="text1"/>
        </w:rPr>
        <w:t>Recalling also</w:t>
      </w:r>
      <w:r w:rsidRPr="00BA3A44">
        <w:rPr>
          <w:color w:val="000000" w:themeColor="text1"/>
        </w:rPr>
        <w:t xml:space="preserve"> that 2026 marks the twentieth anniversary of the Human Rights Council, established by the General Assembly in its resolution 60/251 on 15 March 2006,</w:t>
      </w:r>
    </w:p>
    <w:p w14:paraId="2D132EE9" w14:textId="7FBDD45C" w:rsidR="002D563C" w:rsidRPr="00BA3A44" w:rsidRDefault="002D563C" w:rsidP="002D563C">
      <w:pPr>
        <w:pStyle w:val="SingleTxtG"/>
        <w:ind w:firstLine="567"/>
      </w:pPr>
      <w:r w:rsidRPr="00BA3A44">
        <w:rPr>
          <w:i/>
        </w:rPr>
        <w:t>Considering</w:t>
      </w:r>
      <w:r w:rsidRPr="00BA3A44">
        <w:t xml:space="preserve"> that the anniversary of the adoption of the International Covenants on Human Rights provides an opportunity for the United Nations and its Member States to intensify their efforts to promote awareness and strengthened observance of the rights set out in the Covenants and other international instruments in the field of human rights,</w:t>
      </w:r>
    </w:p>
    <w:p w14:paraId="53FB6C65" w14:textId="2632B0F2" w:rsidR="002D563C" w:rsidRPr="00BA3A44" w:rsidRDefault="002D563C" w:rsidP="002D563C">
      <w:pPr>
        <w:pStyle w:val="SingleTxtG"/>
        <w:ind w:firstLine="567"/>
      </w:pPr>
      <w:r w:rsidRPr="00BA3A44">
        <w:rPr>
          <w:i/>
        </w:rPr>
        <w:t>Reaffirming</w:t>
      </w:r>
      <w:r w:rsidRPr="00BA3A44">
        <w:t xml:space="preserve"> the importance of the observance and effective implementation of the universally recognized standards in the field of human rights as contained in the Covenants,</w:t>
      </w:r>
      <w:r w:rsidR="00626542" w:rsidRPr="00BA3A44">
        <w:t xml:space="preserve"> </w:t>
      </w:r>
      <w:r w:rsidR="00626542" w:rsidRPr="00BA3A44">
        <w:rPr>
          <w:bCs/>
          <w:color w:val="000000" w:themeColor="text1"/>
          <w:lang w:val="en-US"/>
        </w:rPr>
        <w:t>and taking note of the relevant contributions made by the Human Rights Council in this regard,</w:t>
      </w:r>
    </w:p>
    <w:p w14:paraId="6F7A5108" w14:textId="77777777" w:rsidR="002D563C" w:rsidRPr="00BA3A44" w:rsidRDefault="002D563C" w:rsidP="002D563C">
      <w:pPr>
        <w:pStyle w:val="SingleTxtG"/>
        <w:ind w:firstLine="567"/>
      </w:pPr>
      <w:r w:rsidRPr="00BA3A44">
        <w:rPr>
          <w:i/>
        </w:rPr>
        <w:lastRenderedPageBreak/>
        <w:t>Recalling</w:t>
      </w:r>
      <w:r w:rsidRPr="00BA3A44">
        <w:t xml:space="preserve"> that all human rights are universal, indivisible, interdependent and interrelated, that the international community must treat human rights globally in a fair and equal manner, on the same footing and with the same emphasis, and that while the significance of national and regional particularities and various historical, cultural and religious backgrounds must be borne in mind, it is the duty of States, regardless of their political, economic and cultural systems, to promote and protect all human rights and fundamental freedoms,</w:t>
      </w:r>
    </w:p>
    <w:p w14:paraId="428380CA" w14:textId="77777777" w:rsidR="002D563C" w:rsidRPr="00BA3A44" w:rsidRDefault="002D563C" w:rsidP="002D563C">
      <w:pPr>
        <w:pStyle w:val="SingleTxtG"/>
        <w:ind w:firstLine="567"/>
      </w:pPr>
      <w:r w:rsidRPr="00BA3A44">
        <w:rPr>
          <w:i/>
        </w:rPr>
        <w:t>Reaffirming</w:t>
      </w:r>
      <w:r w:rsidRPr="00BA3A44">
        <w:t xml:space="preserve"> that the promotion and protection of one category of rights should never exempt or excuse States from the promotion and protection of the other rights, in conformity with the purposes and principles of the Charter and </w:t>
      </w:r>
      <w:r w:rsidR="00694599" w:rsidRPr="00BA3A44">
        <w:t xml:space="preserve">with </w:t>
      </w:r>
      <w:r w:rsidRPr="00BA3A44">
        <w:t>international law,</w:t>
      </w:r>
    </w:p>
    <w:p w14:paraId="49F099FA" w14:textId="77777777" w:rsidR="002D563C" w:rsidRPr="00BA3A44" w:rsidRDefault="002D563C" w:rsidP="002D563C">
      <w:pPr>
        <w:pStyle w:val="SingleTxtG"/>
        <w:ind w:firstLine="567"/>
      </w:pPr>
      <w:r w:rsidRPr="00BA3A44">
        <w:t>1.</w:t>
      </w:r>
      <w:r w:rsidRPr="00BA3A44">
        <w:tab/>
      </w:r>
      <w:r w:rsidRPr="00BA3A44">
        <w:rPr>
          <w:i/>
        </w:rPr>
        <w:t>Reaffirms</w:t>
      </w:r>
      <w:r w:rsidRPr="00BA3A44">
        <w:t xml:space="preserve"> the importance of the International Covenants on Human Rights as major components of international efforts to promote universal respect for and observance of human rights and fundamental freedoms;</w:t>
      </w:r>
    </w:p>
    <w:p w14:paraId="2E4FE86F" w14:textId="124C4AF6" w:rsidR="002D563C" w:rsidRPr="00BA3A44" w:rsidRDefault="002D563C" w:rsidP="002D563C">
      <w:pPr>
        <w:pStyle w:val="SingleTxtG"/>
        <w:ind w:firstLine="567"/>
      </w:pPr>
      <w:r w:rsidRPr="00BA3A44">
        <w:t>2.</w:t>
      </w:r>
      <w:r w:rsidRPr="00BA3A44">
        <w:tab/>
      </w:r>
      <w:r w:rsidRPr="00BA3A44">
        <w:rPr>
          <w:i/>
        </w:rPr>
        <w:t>Calls upon</w:t>
      </w:r>
      <w:r w:rsidRPr="00BA3A44">
        <w:t xml:space="preserve"> all States that have not yet done so to consider becoming parties to the International Covenant on Economic, Social and Cultural Rights and the International Covenant on Civil and Political Rights;</w:t>
      </w:r>
    </w:p>
    <w:p w14:paraId="4A94B148" w14:textId="77777777" w:rsidR="002D563C" w:rsidRPr="00BA3A44" w:rsidRDefault="002D563C" w:rsidP="002D563C">
      <w:pPr>
        <w:pStyle w:val="SingleTxtG"/>
        <w:ind w:firstLine="567"/>
      </w:pPr>
      <w:r w:rsidRPr="00BA3A44">
        <w:t>3.</w:t>
      </w:r>
      <w:r w:rsidRPr="00BA3A44">
        <w:tab/>
      </w:r>
      <w:r w:rsidRPr="00BA3A44">
        <w:rPr>
          <w:i/>
        </w:rPr>
        <w:t>Encourages</w:t>
      </w:r>
      <w:r w:rsidRPr="00BA3A44">
        <w:t xml:space="preserve"> States parties to consider limiting the extent of any reservations that they lodge to the International Covenants on Human Rights and the Optional Protocols thereto, to formulate any reservations as precisely and narrowly as possible and to review </w:t>
      </w:r>
      <w:r w:rsidR="00414E44" w:rsidRPr="00BA3A44">
        <w:t xml:space="preserve">regularly </w:t>
      </w:r>
      <w:r w:rsidRPr="00BA3A44">
        <w:t>such reservations with a view to withdrawing them so as to ensure that no reservation is incompatible with the object and purpose of the relevant treaty;</w:t>
      </w:r>
    </w:p>
    <w:p w14:paraId="4561F185" w14:textId="77777777" w:rsidR="002D563C" w:rsidRPr="00BA3A44" w:rsidRDefault="002D563C" w:rsidP="002D563C">
      <w:pPr>
        <w:pStyle w:val="SingleTxtG"/>
        <w:ind w:firstLine="567"/>
      </w:pPr>
      <w:r w:rsidRPr="00BA3A44">
        <w:t>4.</w:t>
      </w:r>
      <w:r w:rsidRPr="00BA3A44">
        <w:tab/>
      </w:r>
      <w:r w:rsidRPr="00BA3A44">
        <w:rPr>
          <w:i/>
        </w:rPr>
        <w:t>Calls</w:t>
      </w:r>
      <w:r w:rsidRPr="00BA3A44">
        <w:t xml:space="preserve"> </w:t>
      </w:r>
      <w:r w:rsidRPr="00BA3A44">
        <w:rPr>
          <w:i/>
        </w:rPr>
        <w:t>for</w:t>
      </w:r>
      <w:r w:rsidRPr="00BA3A44">
        <w:t xml:space="preserve"> the strictest compliance by States parties with their obligations under the International Covenant on Economic, Social and Cultural Rights and the International Covenant on Civil and Political Rights and, where applicable, the Optional Protocols thereto;</w:t>
      </w:r>
    </w:p>
    <w:p w14:paraId="597B5767" w14:textId="77777777" w:rsidR="002D563C" w:rsidRPr="00BA3A44" w:rsidRDefault="002D563C" w:rsidP="002D563C">
      <w:pPr>
        <w:pStyle w:val="SingleTxtG"/>
        <w:ind w:firstLine="567"/>
      </w:pPr>
      <w:r w:rsidRPr="00BA3A44">
        <w:t>5.</w:t>
      </w:r>
      <w:r w:rsidRPr="00BA3A44">
        <w:tab/>
      </w:r>
      <w:r w:rsidRPr="00BA3A44">
        <w:rPr>
          <w:i/>
        </w:rPr>
        <w:t>Invites</w:t>
      </w:r>
      <w:r w:rsidRPr="00BA3A44">
        <w:t xml:space="preserve"> the United Nations High Commissioner for Human Rights to make provision</w:t>
      </w:r>
      <w:r w:rsidR="00694599" w:rsidRPr="00BA3A44">
        <w:t>s</w:t>
      </w:r>
      <w:r w:rsidRPr="00BA3A44">
        <w:t xml:space="preserve"> for events and arrangements aimed at the celebration of the anniversary of the International Covenants on Human Rights and to circulate the relevant information among States and other stakeholders;</w:t>
      </w:r>
    </w:p>
    <w:p w14:paraId="6BD4ED52" w14:textId="78ADB0E2" w:rsidR="002D563C" w:rsidRPr="00BA3A44" w:rsidRDefault="002D563C" w:rsidP="002D563C">
      <w:pPr>
        <w:pStyle w:val="SingleTxtG"/>
        <w:ind w:firstLine="567"/>
      </w:pPr>
      <w:r w:rsidRPr="00BA3A44">
        <w:t>6.</w:t>
      </w:r>
      <w:r w:rsidRPr="00BA3A44">
        <w:tab/>
      </w:r>
      <w:r w:rsidR="00414E44" w:rsidRPr="00BA3A44">
        <w:rPr>
          <w:i/>
        </w:rPr>
        <w:t>I</w:t>
      </w:r>
      <w:r w:rsidR="00B90977" w:rsidRPr="00BA3A44">
        <w:rPr>
          <w:i/>
        </w:rPr>
        <w:t>n</w:t>
      </w:r>
      <w:r w:rsidRPr="00BA3A44">
        <w:rPr>
          <w:i/>
        </w:rPr>
        <w:t>vites</w:t>
      </w:r>
      <w:r w:rsidRPr="00BA3A44">
        <w:t xml:space="preserve"> </w:t>
      </w:r>
      <w:r w:rsidR="002328EC" w:rsidRPr="00BA3A44">
        <w:rPr>
          <w:color w:val="000000" w:themeColor="text1"/>
        </w:rPr>
        <w:t>States, as well as</w:t>
      </w:r>
      <w:r w:rsidR="002328EC" w:rsidRPr="00BA3A44">
        <w:t xml:space="preserve"> </w:t>
      </w:r>
      <w:r w:rsidRPr="00BA3A44">
        <w:t xml:space="preserve">relevant United Nations organs and agencies, in </w:t>
      </w:r>
      <w:r w:rsidR="002328EC" w:rsidRPr="00BA3A44">
        <w:t xml:space="preserve">cooperation </w:t>
      </w:r>
      <w:r w:rsidRPr="00BA3A44">
        <w:t>with the High Commissioner, to celebrate the anniversary of the International Covenants on Human Rights by intensifying their own contributions to United Nations system-wide efforts to promote and protect all human rights and fundamental freedoms</w:t>
      </w:r>
      <w:r w:rsidR="001432E7" w:rsidRPr="00BA3A44">
        <w:t xml:space="preserve">, </w:t>
      </w:r>
      <w:r w:rsidR="001432E7" w:rsidRPr="00BA3A44">
        <w:rPr>
          <w:color w:val="000000" w:themeColor="text1"/>
        </w:rPr>
        <w:t>welcomes in this regard the various commemorative initiatives and calls upon them to take part meaningfully in those processes, where appropriate</w:t>
      </w:r>
      <w:r w:rsidR="001432E7" w:rsidRPr="00BA3A44">
        <w:t>;</w:t>
      </w:r>
    </w:p>
    <w:p w14:paraId="62A15A00" w14:textId="44667722" w:rsidR="002D563C" w:rsidRPr="00BA3A44" w:rsidRDefault="002D563C" w:rsidP="002D563C">
      <w:pPr>
        <w:pStyle w:val="SingleTxtG"/>
        <w:ind w:firstLine="567"/>
      </w:pPr>
      <w:r w:rsidRPr="00BA3A44">
        <w:t>7.</w:t>
      </w:r>
      <w:r w:rsidRPr="00BA3A44">
        <w:tab/>
      </w:r>
      <w:r w:rsidRPr="00BA3A44">
        <w:rPr>
          <w:i/>
        </w:rPr>
        <w:t>Decides</w:t>
      </w:r>
      <w:r w:rsidRPr="00BA3A44">
        <w:t xml:space="preserve"> to convene at its </w:t>
      </w:r>
      <w:r w:rsidR="00BC7AF4" w:rsidRPr="00BA3A44">
        <w:t xml:space="preserve">sixty-third </w:t>
      </w:r>
      <w:r w:rsidRPr="00BA3A44">
        <w:t xml:space="preserve">session a high-level panel discussion </w:t>
      </w:r>
      <w:r w:rsidR="00BC7AF4" w:rsidRPr="00BA3A44">
        <w:t xml:space="preserve">accessible for persons with disabilities </w:t>
      </w:r>
      <w:r w:rsidRPr="00BA3A44">
        <w:t xml:space="preserve">on the topic “The </w:t>
      </w:r>
      <w:r w:rsidR="00BC7AF4" w:rsidRPr="00BA3A44">
        <w:t xml:space="preserve">sixtieth </w:t>
      </w:r>
      <w:r w:rsidR="00DA689A" w:rsidRPr="00BA3A44">
        <w:t>a</w:t>
      </w:r>
      <w:r w:rsidRPr="00BA3A44">
        <w:t xml:space="preserve">nniversary of the International Covenants on Human Rights: </w:t>
      </w:r>
      <w:r w:rsidR="00414E44" w:rsidRPr="00BA3A44">
        <w:t>u</w:t>
      </w:r>
      <w:r w:rsidRPr="00BA3A44">
        <w:t xml:space="preserve">niversality, </w:t>
      </w:r>
      <w:r w:rsidR="00414E44" w:rsidRPr="00BA3A44">
        <w:t>i</w:t>
      </w:r>
      <w:r w:rsidRPr="00BA3A44">
        <w:t xml:space="preserve">ndivisibility, </w:t>
      </w:r>
      <w:r w:rsidR="00414E44" w:rsidRPr="00BA3A44">
        <w:t>i</w:t>
      </w:r>
      <w:r w:rsidRPr="00BA3A44">
        <w:t xml:space="preserve">nterdependence and </w:t>
      </w:r>
      <w:r w:rsidR="00414E44" w:rsidRPr="00BA3A44">
        <w:t>i</w:t>
      </w:r>
      <w:r w:rsidRPr="00BA3A44">
        <w:t xml:space="preserve">nterrelatedness of </w:t>
      </w:r>
      <w:r w:rsidR="00414E44" w:rsidRPr="00BA3A44">
        <w:t>a</w:t>
      </w:r>
      <w:r w:rsidRPr="00BA3A44">
        <w:t xml:space="preserve">ll </w:t>
      </w:r>
      <w:r w:rsidR="00414E44" w:rsidRPr="00BA3A44">
        <w:t>h</w:t>
      </w:r>
      <w:r w:rsidRPr="00BA3A44">
        <w:t xml:space="preserve">uman </w:t>
      </w:r>
      <w:r w:rsidR="00414E44" w:rsidRPr="00BA3A44">
        <w:t>r</w:t>
      </w:r>
      <w:r w:rsidRPr="00BA3A44">
        <w:t>ights”</w:t>
      </w:r>
      <w:r w:rsidR="00414E44" w:rsidRPr="00BA3A44">
        <w:t>,</w:t>
      </w:r>
      <w:r w:rsidRPr="00BA3A44">
        <w:t xml:space="preserve"> in order to give the </w:t>
      </w:r>
      <w:r w:rsidR="008521DE" w:rsidRPr="00BA3A44">
        <w:t xml:space="preserve">sixtieth </w:t>
      </w:r>
      <w:r w:rsidRPr="00BA3A44">
        <w:t>anniversary of the International Covenants on Human Rights attention commensurate with its historical significance;</w:t>
      </w:r>
    </w:p>
    <w:p w14:paraId="63068B8A" w14:textId="0A21C609" w:rsidR="002D563C" w:rsidRPr="00BA3A44" w:rsidRDefault="002D563C" w:rsidP="002D563C">
      <w:pPr>
        <w:pStyle w:val="SingleTxtG"/>
        <w:ind w:firstLine="567"/>
      </w:pPr>
      <w:r w:rsidRPr="00BA3A44">
        <w:t>8.</w:t>
      </w:r>
      <w:r w:rsidRPr="00BA3A44">
        <w:tab/>
      </w:r>
      <w:r w:rsidRPr="00BA3A44">
        <w:rPr>
          <w:i/>
        </w:rPr>
        <w:t>Recommends</w:t>
      </w:r>
      <w:r w:rsidRPr="00BA3A44">
        <w:t xml:space="preserve"> </w:t>
      </w:r>
      <w:r w:rsidR="00DA689A" w:rsidRPr="00BA3A44">
        <w:t xml:space="preserve">that </w:t>
      </w:r>
      <w:r w:rsidRPr="00BA3A44">
        <w:t xml:space="preserve">the General Assembly mark the </w:t>
      </w:r>
      <w:r w:rsidR="008521DE" w:rsidRPr="00BA3A44">
        <w:t xml:space="preserve">sixtieth </w:t>
      </w:r>
      <w:r w:rsidRPr="00BA3A44">
        <w:t>anniversary of the International Covenants on Human Rights</w:t>
      </w:r>
      <w:r w:rsidR="00694599" w:rsidRPr="00BA3A44">
        <w:t xml:space="preserve"> during its </w:t>
      </w:r>
      <w:r w:rsidR="008521DE" w:rsidRPr="00BA3A44">
        <w:t xml:space="preserve">eighty-first </w:t>
      </w:r>
      <w:r w:rsidR="00694599" w:rsidRPr="00BA3A44">
        <w:t>session</w:t>
      </w:r>
      <w:r w:rsidRPr="00BA3A44">
        <w:t>.</w:t>
      </w:r>
    </w:p>
    <w:p w14:paraId="3A856C1F" w14:textId="6CD4F94E" w:rsidR="00981E13" w:rsidRDefault="00981E13" w:rsidP="00981E13">
      <w:pPr>
        <w:pStyle w:val="SingleTxtG"/>
        <w:ind w:firstLine="567"/>
        <w:jc w:val="right"/>
        <w:rPr>
          <w:i/>
        </w:rPr>
      </w:pPr>
    </w:p>
    <w:p w14:paraId="0ECC9CC1" w14:textId="77777777" w:rsidR="002F006E" w:rsidRPr="003D206B" w:rsidRDefault="003D206B" w:rsidP="003D206B">
      <w:pPr>
        <w:pStyle w:val="SingleTxtG"/>
        <w:spacing w:before="240" w:after="0"/>
        <w:jc w:val="center"/>
        <w:rPr>
          <w:rFonts w:eastAsia="SimSun"/>
          <w:u w:val="single"/>
        </w:rPr>
      </w:pPr>
      <w:r>
        <w:rPr>
          <w:rFonts w:eastAsia="SimSun"/>
          <w:u w:val="single"/>
          <w:lang w:eastAsia="ar-SA"/>
        </w:rPr>
        <w:tab/>
      </w:r>
      <w:r>
        <w:rPr>
          <w:rFonts w:eastAsia="SimSun"/>
          <w:u w:val="single"/>
          <w:lang w:eastAsia="ar-SA"/>
        </w:rPr>
        <w:tab/>
      </w:r>
      <w:r>
        <w:rPr>
          <w:rFonts w:eastAsia="SimSun"/>
          <w:u w:val="single"/>
          <w:lang w:eastAsia="ar-SA"/>
        </w:rPr>
        <w:tab/>
      </w:r>
    </w:p>
    <w:sectPr w:rsidR="002F006E" w:rsidRPr="003D206B" w:rsidSect="006840A0">
      <w:headerReference w:type="default" r:id="rId8"/>
      <w:footerReference w:type="even" r:id="rId9"/>
      <w:footerReference w:type="default" r:id="rId10"/>
      <w:footerReference w:type="first" r:id="rId11"/>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DD65C" w14:textId="77777777" w:rsidR="00F34A38" w:rsidRDefault="00F34A38"/>
  </w:endnote>
  <w:endnote w:type="continuationSeparator" w:id="0">
    <w:p w14:paraId="15C230FB" w14:textId="77777777" w:rsidR="00F34A38" w:rsidRDefault="00F34A38"/>
  </w:endnote>
  <w:endnote w:type="continuationNotice" w:id="1">
    <w:p w14:paraId="3817FADA" w14:textId="77777777" w:rsidR="00F34A38" w:rsidRDefault="00F34A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rcode 3 of 9 by request">
    <w:altName w:val="Britannic Bold"/>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48896" w14:textId="3BC6725D" w:rsidR="00C42278" w:rsidRPr="00EE2A77" w:rsidRDefault="00C42278" w:rsidP="00EE2A77">
    <w:pPr>
      <w:pStyle w:val="ac"/>
      <w:tabs>
        <w:tab w:val="right" w:pos="9638"/>
      </w:tabs>
    </w:pPr>
    <w:r w:rsidRPr="00EE2A77">
      <w:rPr>
        <w:b/>
        <w:sz w:val="18"/>
      </w:rPr>
      <w:fldChar w:fldCharType="begin"/>
    </w:r>
    <w:r w:rsidRPr="00EE2A77">
      <w:rPr>
        <w:b/>
        <w:sz w:val="18"/>
      </w:rPr>
      <w:instrText xml:space="preserve"> PAGE  \* MERGEFORMAT </w:instrText>
    </w:r>
    <w:r w:rsidRPr="00EE2A77">
      <w:rPr>
        <w:b/>
        <w:sz w:val="18"/>
      </w:rPr>
      <w:fldChar w:fldCharType="separate"/>
    </w:r>
    <w:r w:rsidR="00216DDE">
      <w:rPr>
        <w:b/>
        <w:noProof/>
        <w:sz w:val="18"/>
      </w:rPr>
      <w:t>2</w:t>
    </w:r>
    <w:r w:rsidRPr="00EE2A77">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C2346" w14:textId="685CE55B" w:rsidR="00C42278" w:rsidRPr="00EE2A77" w:rsidRDefault="00C42278" w:rsidP="00EE2A77">
    <w:pPr>
      <w:pStyle w:val="ac"/>
      <w:tabs>
        <w:tab w:val="right" w:pos="9638"/>
      </w:tabs>
      <w:rPr>
        <w:b/>
        <w:sz w:val="18"/>
      </w:rPr>
    </w:pPr>
    <w:r>
      <w:tab/>
    </w:r>
    <w:r w:rsidRPr="00EE2A77">
      <w:rPr>
        <w:b/>
        <w:sz w:val="18"/>
      </w:rPr>
      <w:fldChar w:fldCharType="begin"/>
    </w:r>
    <w:r w:rsidRPr="00EE2A77">
      <w:rPr>
        <w:b/>
        <w:sz w:val="18"/>
      </w:rPr>
      <w:instrText xml:space="preserve"> PAGE  \* MERGEFORMAT </w:instrText>
    </w:r>
    <w:r w:rsidRPr="00EE2A77">
      <w:rPr>
        <w:b/>
        <w:sz w:val="18"/>
      </w:rPr>
      <w:fldChar w:fldCharType="separate"/>
    </w:r>
    <w:r w:rsidR="008B01D9">
      <w:rPr>
        <w:b/>
        <w:noProof/>
        <w:sz w:val="18"/>
      </w:rPr>
      <w:t>3</w:t>
    </w:r>
    <w:r w:rsidRPr="00EE2A77">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6"/>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6840A0" w14:paraId="0C930190" w14:textId="77777777" w:rsidTr="006840A0">
      <w:tc>
        <w:tcPr>
          <w:tcW w:w="3614" w:type="dxa"/>
          <w:shd w:val="clear" w:color="auto" w:fill="auto"/>
        </w:tcPr>
        <w:p w14:paraId="4730A53A" w14:textId="6F130C9E" w:rsidR="006840A0" w:rsidRPr="006840A0" w:rsidRDefault="006840A0" w:rsidP="006840A0">
          <w:pPr>
            <w:pStyle w:val="ac"/>
            <w:rPr>
              <w:rFonts w:ascii="Barcode 3 of 9 by request" w:hAnsi="Barcode 3 of 9 by request"/>
              <w:sz w:val="24"/>
            </w:rPr>
          </w:pPr>
        </w:p>
      </w:tc>
      <w:tc>
        <w:tcPr>
          <w:tcW w:w="4752" w:type="dxa"/>
          <w:shd w:val="clear" w:color="auto" w:fill="auto"/>
        </w:tcPr>
        <w:p w14:paraId="303F6F06" w14:textId="77777777" w:rsidR="006840A0" w:rsidRDefault="006840A0" w:rsidP="006840A0">
          <w:pPr>
            <w:pStyle w:val="ac"/>
            <w:spacing w:line="240" w:lineRule="atLeast"/>
            <w:jc w:val="right"/>
            <w:rPr>
              <w:sz w:val="20"/>
            </w:rPr>
          </w:pPr>
          <w:r>
            <w:rPr>
              <w:noProof/>
              <w:sz w:val="20"/>
              <w:lang w:val="ru-RU" w:eastAsia="ru-RU"/>
            </w:rPr>
            <w:drawing>
              <wp:inline distT="0" distB="0" distL="0" distR="0" wp14:anchorId="3D5A0FBF" wp14:editId="431AE4BC">
                <wp:extent cx="929642" cy="231648"/>
                <wp:effectExtent l="0" t="0" r="381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29642" cy="231648"/>
                        </a:xfrm>
                        <a:prstGeom prst="rect">
                          <a:avLst/>
                        </a:prstGeom>
                      </pic:spPr>
                    </pic:pic>
                  </a:graphicData>
                </a:graphic>
              </wp:inline>
            </w:drawing>
          </w:r>
        </w:p>
      </w:tc>
    </w:tr>
  </w:tbl>
  <w:p w14:paraId="7EAFB69E" w14:textId="77777777" w:rsidR="006840A0" w:rsidRPr="006840A0" w:rsidRDefault="006840A0" w:rsidP="006840A0">
    <w:pPr>
      <w:pStyle w:val="ac"/>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A11AD" w14:textId="77777777" w:rsidR="00F34A38" w:rsidRPr="000B175B" w:rsidRDefault="00F34A38" w:rsidP="000B175B">
      <w:pPr>
        <w:tabs>
          <w:tab w:val="right" w:pos="2155"/>
        </w:tabs>
        <w:spacing w:after="80"/>
        <w:ind w:left="680"/>
        <w:rPr>
          <w:u w:val="single"/>
        </w:rPr>
      </w:pPr>
      <w:r>
        <w:rPr>
          <w:u w:val="single"/>
        </w:rPr>
        <w:tab/>
      </w:r>
    </w:p>
  </w:footnote>
  <w:footnote w:type="continuationSeparator" w:id="0">
    <w:p w14:paraId="6EE84E13" w14:textId="77777777" w:rsidR="00F34A38" w:rsidRPr="00FC68B7" w:rsidRDefault="00F34A38" w:rsidP="00FC68B7">
      <w:pPr>
        <w:tabs>
          <w:tab w:val="left" w:pos="2155"/>
        </w:tabs>
        <w:spacing w:after="80"/>
        <w:ind w:left="680"/>
        <w:rPr>
          <w:u w:val="single"/>
        </w:rPr>
      </w:pPr>
      <w:r>
        <w:rPr>
          <w:u w:val="single"/>
        </w:rPr>
        <w:tab/>
      </w:r>
    </w:p>
  </w:footnote>
  <w:footnote w:type="continuationNotice" w:id="1">
    <w:p w14:paraId="10FB7C75" w14:textId="77777777" w:rsidR="00F34A38" w:rsidRDefault="00F34A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CE94A" w14:textId="75401B45" w:rsidR="00C42278" w:rsidRPr="008521DE" w:rsidRDefault="00C42278" w:rsidP="00EE2A77">
    <w:pPr>
      <w:pStyle w:val="a5"/>
      <w:jc w:val="right"/>
      <w:rPr>
        <w:strike/>
        <w:rPrChange w:id="1" w:author="Исаков Артем Михайлович" w:date="2026-03-11T10:09:00Z">
          <w:rPr/>
        </w:rPrChan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Исаков Артем Михайлович">
    <w15:presenceInfo w15:providerId="None" w15:userId="Исаков Артем Михайло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A77"/>
    <w:rsid w:val="000060AC"/>
    <w:rsid w:val="00007F7F"/>
    <w:rsid w:val="00022DB5"/>
    <w:rsid w:val="0002740F"/>
    <w:rsid w:val="00032232"/>
    <w:rsid w:val="000403D1"/>
    <w:rsid w:val="00042566"/>
    <w:rsid w:val="000449AA"/>
    <w:rsid w:val="00050F6B"/>
    <w:rsid w:val="0005216E"/>
    <w:rsid w:val="00072C8C"/>
    <w:rsid w:val="00073E70"/>
    <w:rsid w:val="000876EB"/>
    <w:rsid w:val="000906C1"/>
    <w:rsid w:val="00091419"/>
    <w:rsid w:val="000931C0"/>
    <w:rsid w:val="000A7259"/>
    <w:rsid w:val="000B175B"/>
    <w:rsid w:val="000B3A0F"/>
    <w:rsid w:val="000B4A3B"/>
    <w:rsid w:val="000D1851"/>
    <w:rsid w:val="000E0415"/>
    <w:rsid w:val="00111F87"/>
    <w:rsid w:val="00112A08"/>
    <w:rsid w:val="00114904"/>
    <w:rsid w:val="001432E7"/>
    <w:rsid w:val="00146D32"/>
    <w:rsid w:val="001509BA"/>
    <w:rsid w:val="00153FA2"/>
    <w:rsid w:val="001757D6"/>
    <w:rsid w:val="001A1BBF"/>
    <w:rsid w:val="001A6BA9"/>
    <w:rsid w:val="001B4B04"/>
    <w:rsid w:val="001B4EEF"/>
    <w:rsid w:val="001C6663"/>
    <w:rsid w:val="001C7895"/>
    <w:rsid w:val="001D26DF"/>
    <w:rsid w:val="001D6DD6"/>
    <w:rsid w:val="001E2790"/>
    <w:rsid w:val="001F77D0"/>
    <w:rsid w:val="00211E0B"/>
    <w:rsid w:val="00211E72"/>
    <w:rsid w:val="00214047"/>
    <w:rsid w:val="00216DDE"/>
    <w:rsid w:val="0022130F"/>
    <w:rsid w:val="002328EC"/>
    <w:rsid w:val="00237785"/>
    <w:rsid w:val="002410DD"/>
    <w:rsid w:val="00241466"/>
    <w:rsid w:val="00253D58"/>
    <w:rsid w:val="00265D75"/>
    <w:rsid w:val="0027725F"/>
    <w:rsid w:val="002B187E"/>
    <w:rsid w:val="002B4F2F"/>
    <w:rsid w:val="002C21F0"/>
    <w:rsid w:val="002D4176"/>
    <w:rsid w:val="002D563C"/>
    <w:rsid w:val="002E1B15"/>
    <w:rsid w:val="002E7C76"/>
    <w:rsid w:val="002F006E"/>
    <w:rsid w:val="003107FA"/>
    <w:rsid w:val="003229D8"/>
    <w:rsid w:val="003314D1"/>
    <w:rsid w:val="00335A2F"/>
    <w:rsid w:val="003376A2"/>
    <w:rsid w:val="00341937"/>
    <w:rsid w:val="003421CD"/>
    <w:rsid w:val="00344CCA"/>
    <w:rsid w:val="00351BBF"/>
    <w:rsid w:val="00390052"/>
    <w:rsid w:val="0039277A"/>
    <w:rsid w:val="003972E0"/>
    <w:rsid w:val="003975ED"/>
    <w:rsid w:val="003A1ABC"/>
    <w:rsid w:val="003C2CC4"/>
    <w:rsid w:val="003D206B"/>
    <w:rsid w:val="003D4B23"/>
    <w:rsid w:val="003D7851"/>
    <w:rsid w:val="00414E44"/>
    <w:rsid w:val="00424C80"/>
    <w:rsid w:val="00427510"/>
    <w:rsid w:val="004325CB"/>
    <w:rsid w:val="0044503A"/>
    <w:rsid w:val="004453BF"/>
    <w:rsid w:val="00446DE4"/>
    <w:rsid w:val="00447761"/>
    <w:rsid w:val="00451EC3"/>
    <w:rsid w:val="00453241"/>
    <w:rsid w:val="004721B1"/>
    <w:rsid w:val="00472982"/>
    <w:rsid w:val="004859EC"/>
    <w:rsid w:val="00487B50"/>
    <w:rsid w:val="00496A15"/>
    <w:rsid w:val="004A6D3A"/>
    <w:rsid w:val="004B75D2"/>
    <w:rsid w:val="004D1140"/>
    <w:rsid w:val="004F55ED"/>
    <w:rsid w:val="0052176C"/>
    <w:rsid w:val="005261E5"/>
    <w:rsid w:val="00533515"/>
    <w:rsid w:val="005420F2"/>
    <w:rsid w:val="00542574"/>
    <w:rsid w:val="005436AB"/>
    <w:rsid w:val="0054626B"/>
    <w:rsid w:val="00546DBF"/>
    <w:rsid w:val="00553D76"/>
    <w:rsid w:val="005552B5"/>
    <w:rsid w:val="00556A26"/>
    <w:rsid w:val="0056117B"/>
    <w:rsid w:val="005673C0"/>
    <w:rsid w:val="00567613"/>
    <w:rsid w:val="00571365"/>
    <w:rsid w:val="00576396"/>
    <w:rsid w:val="00582A01"/>
    <w:rsid w:val="00597B57"/>
    <w:rsid w:val="005A69B3"/>
    <w:rsid w:val="005B3DB3"/>
    <w:rsid w:val="005B6E48"/>
    <w:rsid w:val="005C2413"/>
    <w:rsid w:val="005C69BB"/>
    <w:rsid w:val="005E1712"/>
    <w:rsid w:val="005E4F33"/>
    <w:rsid w:val="0061165E"/>
    <w:rsid w:val="00611ABD"/>
    <w:rsid w:val="00611FC4"/>
    <w:rsid w:val="006176FB"/>
    <w:rsid w:val="00626542"/>
    <w:rsid w:val="00640B26"/>
    <w:rsid w:val="006601B6"/>
    <w:rsid w:val="00670741"/>
    <w:rsid w:val="00674C17"/>
    <w:rsid w:val="006840A0"/>
    <w:rsid w:val="00694599"/>
    <w:rsid w:val="006947AE"/>
    <w:rsid w:val="00696BD6"/>
    <w:rsid w:val="00697307"/>
    <w:rsid w:val="006A6B9D"/>
    <w:rsid w:val="006A7392"/>
    <w:rsid w:val="006B3189"/>
    <w:rsid w:val="006B7D65"/>
    <w:rsid w:val="006C28EE"/>
    <w:rsid w:val="006C35AD"/>
    <w:rsid w:val="006D4961"/>
    <w:rsid w:val="006D5F84"/>
    <w:rsid w:val="006D6DA6"/>
    <w:rsid w:val="006E564B"/>
    <w:rsid w:val="006E59E7"/>
    <w:rsid w:val="006F13F0"/>
    <w:rsid w:val="006F5035"/>
    <w:rsid w:val="0070635F"/>
    <w:rsid w:val="007065EB"/>
    <w:rsid w:val="0071701A"/>
    <w:rsid w:val="00720183"/>
    <w:rsid w:val="0072632A"/>
    <w:rsid w:val="0074200B"/>
    <w:rsid w:val="007A4311"/>
    <w:rsid w:val="007A6296"/>
    <w:rsid w:val="007B208E"/>
    <w:rsid w:val="007B6BA5"/>
    <w:rsid w:val="007B7C6F"/>
    <w:rsid w:val="007C1B62"/>
    <w:rsid w:val="007C3390"/>
    <w:rsid w:val="007C4F4B"/>
    <w:rsid w:val="007D2CDC"/>
    <w:rsid w:val="007D5327"/>
    <w:rsid w:val="007E15F4"/>
    <w:rsid w:val="007F6611"/>
    <w:rsid w:val="008155C3"/>
    <w:rsid w:val="008175E9"/>
    <w:rsid w:val="0082243E"/>
    <w:rsid w:val="008242D7"/>
    <w:rsid w:val="008402E9"/>
    <w:rsid w:val="0085153E"/>
    <w:rsid w:val="008521DE"/>
    <w:rsid w:val="00856CD2"/>
    <w:rsid w:val="00861BC6"/>
    <w:rsid w:val="00871FD5"/>
    <w:rsid w:val="00876A1E"/>
    <w:rsid w:val="008979B1"/>
    <w:rsid w:val="008A6B25"/>
    <w:rsid w:val="008A6C4F"/>
    <w:rsid w:val="008B01D9"/>
    <w:rsid w:val="008C1E4D"/>
    <w:rsid w:val="008C548A"/>
    <w:rsid w:val="008C5B7C"/>
    <w:rsid w:val="008E0E46"/>
    <w:rsid w:val="0090452C"/>
    <w:rsid w:val="00907C3F"/>
    <w:rsid w:val="0092237C"/>
    <w:rsid w:val="0093707B"/>
    <w:rsid w:val="009400EB"/>
    <w:rsid w:val="009427E3"/>
    <w:rsid w:val="00956D9B"/>
    <w:rsid w:val="00962C06"/>
    <w:rsid w:val="00963CBA"/>
    <w:rsid w:val="009654B7"/>
    <w:rsid w:val="009659B8"/>
    <w:rsid w:val="00976B90"/>
    <w:rsid w:val="00981E13"/>
    <w:rsid w:val="00991261"/>
    <w:rsid w:val="009A0B83"/>
    <w:rsid w:val="009B019A"/>
    <w:rsid w:val="009B3800"/>
    <w:rsid w:val="009D22AC"/>
    <w:rsid w:val="009D50DB"/>
    <w:rsid w:val="009E1C4E"/>
    <w:rsid w:val="009F34F1"/>
    <w:rsid w:val="009F58A8"/>
    <w:rsid w:val="00A05E0B"/>
    <w:rsid w:val="00A1075A"/>
    <w:rsid w:val="00A1427D"/>
    <w:rsid w:val="00A4634F"/>
    <w:rsid w:val="00A51CF3"/>
    <w:rsid w:val="00A61A1A"/>
    <w:rsid w:val="00A6321A"/>
    <w:rsid w:val="00A72F22"/>
    <w:rsid w:val="00A748A6"/>
    <w:rsid w:val="00A879A4"/>
    <w:rsid w:val="00A87E95"/>
    <w:rsid w:val="00A90083"/>
    <w:rsid w:val="00A92E29"/>
    <w:rsid w:val="00AB61A8"/>
    <w:rsid w:val="00AB71D4"/>
    <w:rsid w:val="00AC2E56"/>
    <w:rsid w:val="00AD09E9"/>
    <w:rsid w:val="00AD7489"/>
    <w:rsid w:val="00AF0576"/>
    <w:rsid w:val="00AF3829"/>
    <w:rsid w:val="00B037F0"/>
    <w:rsid w:val="00B2327D"/>
    <w:rsid w:val="00B2718F"/>
    <w:rsid w:val="00B30179"/>
    <w:rsid w:val="00B3317B"/>
    <w:rsid w:val="00B334DC"/>
    <w:rsid w:val="00B3631A"/>
    <w:rsid w:val="00B4035F"/>
    <w:rsid w:val="00B53013"/>
    <w:rsid w:val="00B57EDB"/>
    <w:rsid w:val="00B67F5E"/>
    <w:rsid w:val="00B7355B"/>
    <w:rsid w:val="00B73E65"/>
    <w:rsid w:val="00B81E12"/>
    <w:rsid w:val="00B87110"/>
    <w:rsid w:val="00B90977"/>
    <w:rsid w:val="00B97FA8"/>
    <w:rsid w:val="00BA3A44"/>
    <w:rsid w:val="00BB5313"/>
    <w:rsid w:val="00BC1385"/>
    <w:rsid w:val="00BC74E9"/>
    <w:rsid w:val="00BC7AF4"/>
    <w:rsid w:val="00BD35F1"/>
    <w:rsid w:val="00BE00DE"/>
    <w:rsid w:val="00BE618E"/>
    <w:rsid w:val="00C24693"/>
    <w:rsid w:val="00C359A4"/>
    <w:rsid w:val="00C35F0B"/>
    <w:rsid w:val="00C42278"/>
    <w:rsid w:val="00C463DD"/>
    <w:rsid w:val="00C56E29"/>
    <w:rsid w:val="00C64458"/>
    <w:rsid w:val="00C745C3"/>
    <w:rsid w:val="00CA0FD2"/>
    <w:rsid w:val="00CA2A58"/>
    <w:rsid w:val="00CC0B55"/>
    <w:rsid w:val="00CD1E06"/>
    <w:rsid w:val="00CD33B9"/>
    <w:rsid w:val="00CD6995"/>
    <w:rsid w:val="00CE4A8F"/>
    <w:rsid w:val="00CE5BB6"/>
    <w:rsid w:val="00CF0214"/>
    <w:rsid w:val="00CF0545"/>
    <w:rsid w:val="00CF3588"/>
    <w:rsid w:val="00CF586F"/>
    <w:rsid w:val="00CF6377"/>
    <w:rsid w:val="00CF7D43"/>
    <w:rsid w:val="00D11129"/>
    <w:rsid w:val="00D2031B"/>
    <w:rsid w:val="00D22332"/>
    <w:rsid w:val="00D25FE2"/>
    <w:rsid w:val="00D43252"/>
    <w:rsid w:val="00D550F9"/>
    <w:rsid w:val="00D572B0"/>
    <w:rsid w:val="00D62E90"/>
    <w:rsid w:val="00D76BE5"/>
    <w:rsid w:val="00D95B46"/>
    <w:rsid w:val="00D978C6"/>
    <w:rsid w:val="00DA67AD"/>
    <w:rsid w:val="00DA689A"/>
    <w:rsid w:val="00DB18CE"/>
    <w:rsid w:val="00DC7FE0"/>
    <w:rsid w:val="00DE3EC0"/>
    <w:rsid w:val="00DF0382"/>
    <w:rsid w:val="00E051D8"/>
    <w:rsid w:val="00E11593"/>
    <w:rsid w:val="00E12B6B"/>
    <w:rsid w:val="00E130AB"/>
    <w:rsid w:val="00E23BBC"/>
    <w:rsid w:val="00E438D9"/>
    <w:rsid w:val="00E47A1C"/>
    <w:rsid w:val="00E5644E"/>
    <w:rsid w:val="00E61A6C"/>
    <w:rsid w:val="00E7260F"/>
    <w:rsid w:val="00E806EE"/>
    <w:rsid w:val="00E9471B"/>
    <w:rsid w:val="00E96630"/>
    <w:rsid w:val="00EB0FB9"/>
    <w:rsid w:val="00EC250E"/>
    <w:rsid w:val="00EC42A2"/>
    <w:rsid w:val="00ED0CA9"/>
    <w:rsid w:val="00ED7A2A"/>
    <w:rsid w:val="00EE2A77"/>
    <w:rsid w:val="00EF1D7F"/>
    <w:rsid w:val="00EF5BDB"/>
    <w:rsid w:val="00F07FD9"/>
    <w:rsid w:val="00F15AA7"/>
    <w:rsid w:val="00F171B9"/>
    <w:rsid w:val="00F23933"/>
    <w:rsid w:val="00F24119"/>
    <w:rsid w:val="00F34A38"/>
    <w:rsid w:val="00F40E75"/>
    <w:rsid w:val="00F42CD9"/>
    <w:rsid w:val="00F440D5"/>
    <w:rsid w:val="00F52936"/>
    <w:rsid w:val="00F677CB"/>
    <w:rsid w:val="00F75D86"/>
    <w:rsid w:val="00F96949"/>
    <w:rsid w:val="00FA7DF3"/>
    <w:rsid w:val="00FC48F4"/>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B67AAA"/>
  <w15:docId w15:val="{54A37C16-10F0-466B-8DDD-1AF65DA22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214"/>
    <w:pPr>
      <w:suppressAutoHyphens/>
      <w:spacing w:line="240" w:lineRule="atLeast"/>
    </w:pPr>
    <w:rPr>
      <w:lang w:eastAsia="en-US"/>
    </w:rPr>
  </w:style>
  <w:style w:type="paragraph" w:styleId="1">
    <w:name w:val="heading 1"/>
    <w:aliases w:val="Table_G"/>
    <w:basedOn w:val="SingleTxtG"/>
    <w:next w:val="SingleTxtG"/>
    <w:qFormat/>
    <w:rsid w:val="00CF0214"/>
    <w:pPr>
      <w:spacing w:after="0" w:line="240" w:lineRule="auto"/>
      <w:ind w:right="0"/>
      <w:jc w:val="left"/>
      <w:outlineLvl w:val="0"/>
    </w:pPr>
  </w:style>
  <w:style w:type="paragraph" w:styleId="2">
    <w:name w:val="heading 2"/>
    <w:basedOn w:val="a"/>
    <w:next w:val="a"/>
    <w:qFormat/>
    <w:rsid w:val="00CF0214"/>
    <w:pPr>
      <w:spacing w:line="240" w:lineRule="auto"/>
      <w:outlineLvl w:val="1"/>
    </w:pPr>
  </w:style>
  <w:style w:type="paragraph" w:styleId="3">
    <w:name w:val="heading 3"/>
    <w:basedOn w:val="a"/>
    <w:next w:val="a"/>
    <w:qFormat/>
    <w:rsid w:val="00CF0214"/>
    <w:pPr>
      <w:spacing w:line="240" w:lineRule="auto"/>
      <w:outlineLvl w:val="2"/>
    </w:pPr>
  </w:style>
  <w:style w:type="paragraph" w:styleId="4">
    <w:name w:val="heading 4"/>
    <w:basedOn w:val="a"/>
    <w:next w:val="a"/>
    <w:qFormat/>
    <w:rsid w:val="00CF0214"/>
    <w:pPr>
      <w:spacing w:line="240" w:lineRule="auto"/>
      <w:outlineLvl w:val="3"/>
    </w:pPr>
  </w:style>
  <w:style w:type="paragraph" w:styleId="5">
    <w:name w:val="heading 5"/>
    <w:basedOn w:val="a"/>
    <w:next w:val="a"/>
    <w:qFormat/>
    <w:rsid w:val="00CF0214"/>
    <w:pPr>
      <w:spacing w:line="240" w:lineRule="auto"/>
      <w:outlineLvl w:val="4"/>
    </w:pPr>
  </w:style>
  <w:style w:type="paragraph" w:styleId="6">
    <w:name w:val="heading 6"/>
    <w:basedOn w:val="a"/>
    <w:next w:val="a"/>
    <w:qFormat/>
    <w:rsid w:val="00CF0214"/>
    <w:pPr>
      <w:spacing w:line="240" w:lineRule="auto"/>
      <w:outlineLvl w:val="5"/>
    </w:pPr>
  </w:style>
  <w:style w:type="paragraph" w:styleId="7">
    <w:name w:val="heading 7"/>
    <w:basedOn w:val="a"/>
    <w:next w:val="a"/>
    <w:qFormat/>
    <w:rsid w:val="00CF0214"/>
    <w:pPr>
      <w:spacing w:line="240" w:lineRule="auto"/>
      <w:outlineLvl w:val="6"/>
    </w:pPr>
  </w:style>
  <w:style w:type="paragraph" w:styleId="8">
    <w:name w:val="heading 8"/>
    <w:basedOn w:val="a"/>
    <w:next w:val="a"/>
    <w:qFormat/>
    <w:rsid w:val="00CF0214"/>
    <w:pPr>
      <w:spacing w:line="240" w:lineRule="auto"/>
      <w:outlineLvl w:val="7"/>
    </w:pPr>
  </w:style>
  <w:style w:type="paragraph" w:styleId="9">
    <w:name w:val="heading 9"/>
    <w:basedOn w:val="a"/>
    <w:next w:val="a"/>
    <w:qFormat/>
    <w:rsid w:val="00CF0214"/>
    <w:pPr>
      <w:spacing w:line="240" w:lineRule="auto"/>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ingleTxtG">
    <w:name w:val="_ Single Txt_G"/>
    <w:basedOn w:val="a"/>
    <w:link w:val="SingleTxtGChar"/>
    <w:rsid w:val="00CF0214"/>
    <w:pPr>
      <w:spacing w:after="120"/>
      <w:ind w:left="1134" w:right="1134"/>
      <w:jc w:val="both"/>
    </w:pPr>
  </w:style>
  <w:style w:type="paragraph" w:customStyle="1" w:styleId="HMG">
    <w:name w:val="_ H __M_G"/>
    <w:basedOn w:val="a"/>
    <w:next w:val="a"/>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a"/>
    <w:next w:val="a"/>
    <w:rsid w:val="00CF0214"/>
    <w:pPr>
      <w:keepNext/>
      <w:keepLines/>
      <w:tabs>
        <w:tab w:val="right" w:pos="851"/>
      </w:tabs>
      <w:spacing w:before="360" w:after="240" w:line="300" w:lineRule="exact"/>
      <w:ind w:left="1134" w:right="1134" w:hanging="1134"/>
    </w:pPr>
    <w:rPr>
      <w:b/>
      <w:sz w:val="28"/>
    </w:rPr>
  </w:style>
  <w:style w:type="character" w:styleId="a3">
    <w:name w:val="footnote reference"/>
    <w:aliases w:val="4_G"/>
    <w:rsid w:val="00CF0214"/>
    <w:rPr>
      <w:rFonts w:ascii="Times New Roman" w:hAnsi="Times New Roman"/>
      <w:sz w:val="18"/>
      <w:vertAlign w:val="superscript"/>
    </w:rPr>
  </w:style>
  <w:style w:type="character" w:styleId="a4">
    <w:name w:val="endnote reference"/>
    <w:aliases w:val="1_G"/>
    <w:basedOn w:val="a3"/>
    <w:rsid w:val="00CF0214"/>
    <w:rPr>
      <w:rFonts w:ascii="Times New Roman" w:hAnsi="Times New Roman"/>
      <w:sz w:val="18"/>
      <w:vertAlign w:val="superscript"/>
    </w:rPr>
  </w:style>
  <w:style w:type="paragraph" w:styleId="a5">
    <w:name w:val="header"/>
    <w:aliases w:val="6_G"/>
    <w:basedOn w:val="a"/>
    <w:rsid w:val="00CF0214"/>
    <w:pPr>
      <w:pBdr>
        <w:bottom w:val="single" w:sz="4" w:space="4" w:color="auto"/>
      </w:pBdr>
      <w:spacing w:line="240" w:lineRule="auto"/>
    </w:pPr>
    <w:rPr>
      <w:b/>
      <w:sz w:val="18"/>
    </w:rPr>
  </w:style>
  <w:style w:type="table" w:styleId="a6">
    <w:name w:val="Table Grid"/>
    <w:basedOn w:val="a1"/>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a7">
    <w:name w:val="Hyperlink"/>
    <w:semiHidden/>
    <w:rsid w:val="00CF0214"/>
    <w:rPr>
      <w:color w:val="auto"/>
      <w:u w:val="none"/>
    </w:rPr>
  </w:style>
  <w:style w:type="character" w:styleId="a8">
    <w:name w:val="FollowedHyperlink"/>
    <w:semiHidden/>
    <w:rsid w:val="00CF0214"/>
    <w:rPr>
      <w:color w:val="auto"/>
      <w:u w:val="none"/>
    </w:rPr>
  </w:style>
  <w:style w:type="paragraph" w:customStyle="1" w:styleId="SMG">
    <w:name w:val="__S_M_G"/>
    <w:basedOn w:val="a"/>
    <w:next w:val="a"/>
    <w:rsid w:val="00CF0214"/>
    <w:pPr>
      <w:keepNext/>
      <w:keepLines/>
      <w:spacing w:before="240" w:after="240" w:line="420" w:lineRule="exact"/>
      <w:ind w:left="1134" w:right="1134"/>
    </w:pPr>
    <w:rPr>
      <w:b/>
      <w:sz w:val="40"/>
    </w:rPr>
  </w:style>
  <w:style w:type="paragraph" w:customStyle="1" w:styleId="SLG">
    <w:name w:val="__S_L_G"/>
    <w:basedOn w:val="a"/>
    <w:next w:val="a"/>
    <w:rsid w:val="00CF0214"/>
    <w:pPr>
      <w:keepNext/>
      <w:keepLines/>
      <w:spacing w:before="240" w:after="240" w:line="580" w:lineRule="exact"/>
      <w:ind w:left="1134" w:right="1134"/>
    </w:pPr>
    <w:rPr>
      <w:b/>
      <w:sz w:val="56"/>
    </w:rPr>
  </w:style>
  <w:style w:type="paragraph" w:customStyle="1" w:styleId="SSG">
    <w:name w:val="__S_S_G"/>
    <w:basedOn w:val="a"/>
    <w:next w:val="a"/>
    <w:rsid w:val="00CF0214"/>
    <w:pPr>
      <w:keepNext/>
      <w:keepLines/>
      <w:spacing w:before="240" w:after="240" w:line="300" w:lineRule="exact"/>
      <w:ind w:left="1134" w:right="1134"/>
    </w:pPr>
    <w:rPr>
      <w:b/>
      <w:sz w:val="28"/>
    </w:rPr>
  </w:style>
  <w:style w:type="paragraph" w:styleId="a9">
    <w:name w:val="footnote text"/>
    <w:aliases w:val="5_G"/>
    <w:basedOn w:val="a"/>
    <w:rsid w:val="00CF0214"/>
    <w:pPr>
      <w:tabs>
        <w:tab w:val="right" w:pos="1021"/>
      </w:tabs>
      <w:spacing w:line="220" w:lineRule="exact"/>
      <w:ind w:left="1134" w:right="1134" w:hanging="1134"/>
    </w:pPr>
    <w:rPr>
      <w:sz w:val="18"/>
    </w:rPr>
  </w:style>
  <w:style w:type="paragraph" w:styleId="aa">
    <w:name w:val="endnote text"/>
    <w:aliases w:val="2_G"/>
    <w:basedOn w:val="a9"/>
    <w:rsid w:val="00CF0214"/>
  </w:style>
  <w:style w:type="character" w:styleId="ab">
    <w:name w:val="page number"/>
    <w:aliases w:val="7_G"/>
    <w:rsid w:val="00CF0214"/>
    <w:rPr>
      <w:rFonts w:ascii="Times New Roman" w:hAnsi="Times New Roman"/>
      <w:b/>
      <w:sz w:val="18"/>
    </w:rPr>
  </w:style>
  <w:style w:type="paragraph" w:customStyle="1" w:styleId="XLargeG">
    <w:name w:val="__XLarge_G"/>
    <w:basedOn w:val="a"/>
    <w:next w:val="a"/>
    <w:rsid w:val="00CF0214"/>
    <w:pPr>
      <w:keepNext/>
      <w:keepLines/>
      <w:spacing w:before="240" w:after="240" w:line="420" w:lineRule="exact"/>
      <w:ind w:left="1134" w:right="1134"/>
    </w:pPr>
    <w:rPr>
      <w:b/>
      <w:sz w:val="40"/>
    </w:rPr>
  </w:style>
  <w:style w:type="paragraph" w:customStyle="1" w:styleId="Bullet1G">
    <w:name w:val="_Bullet 1_G"/>
    <w:basedOn w:val="a"/>
    <w:rsid w:val="00CF0214"/>
    <w:pPr>
      <w:numPr>
        <w:numId w:val="6"/>
      </w:numPr>
      <w:spacing w:after="120"/>
      <w:ind w:right="1134"/>
      <w:jc w:val="both"/>
    </w:pPr>
  </w:style>
  <w:style w:type="paragraph" w:styleId="ac">
    <w:name w:val="footer"/>
    <w:aliases w:val="3_G"/>
    <w:basedOn w:val="a"/>
    <w:rsid w:val="00CF0214"/>
    <w:pPr>
      <w:spacing w:line="240" w:lineRule="auto"/>
    </w:pPr>
    <w:rPr>
      <w:sz w:val="16"/>
    </w:rPr>
  </w:style>
  <w:style w:type="paragraph" w:customStyle="1" w:styleId="Bullet2G">
    <w:name w:val="_Bullet 2_G"/>
    <w:basedOn w:val="a"/>
    <w:rsid w:val="00CF0214"/>
    <w:pPr>
      <w:numPr>
        <w:numId w:val="7"/>
      </w:numPr>
      <w:spacing w:after="120"/>
      <w:ind w:right="1134"/>
      <w:jc w:val="both"/>
    </w:pPr>
  </w:style>
  <w:style w:type="paragraph" w:customStyle="1" w:styleId="H1G">
    <w:name w:val="_ H_1_G"/>
    <w:basedOn w:val="a"/>
    <w:next w:val="a"/>
    <w:link w:val="H1GChar"/>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a"/>
    <w:next w:val="a"/>
    <w:rsid w:val="00CF0214"/>
    <w:pPr>
      <w:keepNext/>
      <w:keepLines/>
      <w:tabs>
        <w:tab w:val="right" w:pos="851"/>
      </w:tabs>
      <w:spacing w:before="240" w:after="120" w:line="240" w:lineRule="exact"/>
      <w:ind w:left="1134" w:right="1134" w:hanging="1134"/>
    </w:pPr>
    <w:rPr>
      <w:b/>
    </w:rPr>
  </w:style>
  <w:style w:type="paragraph" w:customStyle="1" w:styleId="H4G">
    <w:name w:val="_ H_4_G"/>
    <w:basedOn w:val="a"/>
    <w:next w:val="a"/>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a"/>
    <w:next w:val="a"/>
    <w:rsid w:val="00CF0214"/>
    <w:pPr>
      <w:keepNext/>
      <w:keepLines/>
      <w:tabs>
        <w:tab w:val="right" w:pos="851"/>
      </w:tabs>
      <w:spacing w:before="240" w:after="120" w:line="240" w:lineRule="exact"/>
      <w:ind w:left="1134" w:right="1134" w:hanging="1134"/>
    </w:pPr>
  </w:style>
  <w:style w:type="character" w:customStyle="1" w:styleId="SingleTxtGChar">
    <w:name w:val="_ Single Txt_G Char"/>
    <w:link w:val="SingleTxtG"/>
    <w:rsid w:val="002F006E"/>
    <w:rPr>
      <w:lang w:val="en-GB" w:eastAsia="en-US" w:bidi="ar-SA"/>
    </w:rPr>
  </w:style>
  <w:style w:type="character" w:customStyle="1" w:styleId="H1GChar">
    <w:name w:val="_ H_1_G Char"/>
    <w:link w:val="H1G"/>
    <w:rsid w:val="002F006E"/>
    <w:rPr>
      <w:b/>
      <w:sz w:val="24"/>
      <w:lang w:val="en-GB" w:eastAsia="en-US" w:bidi="ar-SA"/>
    </w:rPr>
  </w:style>
  <w:style w:type="paragraph" w:styleId="ad">
    <w:name w:val="Balloon Text"/>
    <w:basedOn w:val="a"/>
    <w:link w:val="ae"/>
    <w:rsid w:val="00A1075A"/>
    <w:pPr>
      <w:spacing w:line="240" w:lineRule="auto"/>
    </w:pPr>
    <w:rPr>
      <w:rFonts w:ascii="Tahoma" w:hAnsi="Tahoma" w:cs="Tahoma"/>
      <w:sz w:val="16"/>
      <w:szCs w:val="16"/>
    </w:rPr>
  </w:style>
  <w:style w:type="character" w:customStyle="1" w:styleId="ae">
    <w:name w:val="Текст выноски Знак"/>
    <w:basedOn w:val="a0"/>
    <w:link w:val="ad"/>
    <w:rsid w:val="00A1075A"/>
    <w:rPr>
      <w:rFonts w:ascii="Tahoma" w:hAnsi="Tahoma" w:cs="Tahoma"/>
      <w:sz w:val="16"/>
      <w:szCs w:val="16"/>
      <w:lang w:eastAsia="en-US"/>
    </w:rPr>
  </w:style>
  <w:style w:type="character" w:styleId="af">
    <w:name w:val="annotation reference"/>
    <w:basedOn w:val="a0"/>
    <w:rsid w:val="006840A0"/>
    <w:rPr>
      <w:sz w:val="16"/>
      <w:szCs w:val="16"/>
    </w:rPr>
  </w:style>
  <w:style w:type="paragraph" w:styleId="af0">
    <w:name w:val="annotation text"/>
    <w:basedOn w:val="a"/>
    <w:link w:val="af1"/>
    <w:rsid w:val="006840A0"/>
    <w:pPr>
      <w:spacing w:line="240" w:lineRule="auto"/>
    </w:pPr>
  </w:style>
  <w:style w:type="character" w:customStyle="1" w:styleId="af1">
    <w:name w:val="Текст примечания Знак"/>
    <w:basedOn w:val="a0"/>
    <w:link w:val="af0"/>
    <w:rsid w:val="006840A0"/>
    <w:rPr>
      <w:lang w:eastAsia="en-US"/>
    </w:rPr>
  </w:style>
  <w:style w:type="paragraph" w:styleId="af2">
    <w:name w:val="annotation subject"/>
    <w:basedOn w:val="af0"/>
    <w:next w:val="af0"/>
    <w:link w:val="af3"/>
    <w:rsid w:val="006840A0"/>
    <w:rPr>
      <w:b/>
      <w:bCs/>
    </w:rPr>
  </w:style>
  <w:style w:type="character" w:customStyle="1" w:styleId="af3">
    <w:name w:val="Тема примечания Знак"/>
    <w:basedOn w:val="af1"/>
    <w:link w:val="af2"/>
    <w:rsid w:val="006840A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B183C12896ED428EB118555D765358" ma:contentTypeVersion="0" ma:contentTypeDescription="Create a new document." ma:contentTypeScope="" ma:versionID="66c30ee74aa5ff42d004ae992a51b8b8">
  <xsd:schema xmlns:xsd="http://www.w3.org/2001/XMLSchema" xmlns:xs="http://www.w3.org/2001/XMLSchema" xmlns:p="http://schemas.microsoft.com/office/2006/metadata/properties" targetNamespace="http://schemas.microsoft.com/office/2006/metadata/properties" ma:root="true" ma:fieldsID="93ed58d308ae48f43933bdb13b9d8d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AE640C-2A09-4381-9F8C-6FFEE71A47E9}"/>
</file>

<file path=customXml/itemProps2.xml><?xml version="1.0" encoding="utf-8"?>
<ds:datastoreItem xmlns:ds="http://schemas.openxmlformats.org/officeDocument/2006/customXml" ds:itemID="{684315D9-2216-4193-A3A5-DD8BA16F26C5}"/>
</file>

<file path=customXml/itemProps3.xml><?xml version="1.0" encoding="utf-8"?>
<ds:datastoreItem xmlns:ds="http://schemas.openxmlformats.org/officeDocument/2006/customXml" ds:itemID="{376CDB89-BAE7-452A-A668-B249B63F02E3}"/>
</file>

<file path=docProps/app.xml><?xml version="1.0" encoding="utf-8"?>
<Properties xmlns="http://schemas.openxmlformats.org/officeDocument/2006/extended-properties" xmlns:vt="http://schemas.openxmlformats.org/officeDocument/2006/docPropsVTypes">
  <Template>Normal.dotm</Template>
  <TotalTime>9</TotalTime>
  <Pages>2</Pages>
  <Words>806</Words>
  <Characters>4598</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CSD</Company>
  <LinksUpToDate>false</LinksUpToDate>
  <CharactersWithSpaces>5394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Kiatsurayanon</dc:creator>
  <cp:lastModifiedBy>INTERNET</cp:lastModifiedBy>
  <cp:revision>24</cp:revision>
  <cp:lastPrinted>2015-08-03T06:25:00Z</cp:lastPrinted>
  <dcterms:created xsi:type="dcterms:W3CDTF">2026-03-11T09:16:00Z</dcterms:created>
  <dcterms:modified xsi:type="dcterms:W3CDTF">2026-03-11T11:51:00Z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0x0101004AB183C12896ED428EB118555D765358</vt:lpwstr>
  </property>
</Properties>
</file>