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0749" w14:textId="700A5E4C" w:rsidR="00D72032" w:rsidRPr="00D72032" w:rsidRDefault="00D72032" w:rsidP="00D72032">
      <w:pPr>
        <w:spacing w:after="80" w:line="240" w:lineRule="auto"/>
        <w:jc w:val="center"/>
        <w:rPr>
          <w:rFonts w:ascii="Times New Roman" w:hAnsi="Times New Roman" w:cs="Times New Roman"/>
          <w:b/>
          <w:bCs/>
          <w:sz w:val="24"/>
          <w:szCs w:val="24"/>
          <w:lang w:val="en-GB"/>
        </w:rPr>
      </w:pPr>
      <w:r w:rsidRPr="00D72032">
        <w:rPr>
          <w:rFonts w:ascii="Times New Roman" w:hAnsi="Times New Roman" w:cs="Times New Roman"/>
          <w:b/>
          <w:bCs/>
          <w:sz w:val="24"/>
          <w:szCs w:val="24"/>
          <w:lang w:val="en-GB"/>
        </w:rPr>
        <w:t>Report of the Special Rapporteur on independence of judges and lawyers</w:t>
      </w:r>
    </w:p>
    <w:p w14:paraId="72D1607F" w14:textId="0810BB31" w:rsidR="004C46F9" w:rsidRPr="00D72032" w:rsidRDefault="00D72032" w:rsidP="00D72032">
      <w:pPr>
        <w:spacing w:after="80" w:line="240" w:lineRule="auto"/>
        <w:jc w:val="center"/>
        <w:rPr>
          <w:rFonts w:ascii="Times New Roman" w:hAnsi="Times New Roman" w:cs="Times New Roman"/>
          <w:b/>
          <w:bCs/>
          <w:sz w:val="24"/>
          <w:szCs w:val="24"/>
          <w:lang w:val="en-GB"/>
        </w:rPr>
      </w:pPr>
      <w:r w:rsidRPr="00D72032">
        <w:rPr>
          <w:rFonts w:asciiTheme="majorBidi" w:eastAsia="Times New Roman" w:hAnsiTheme="majorBidi" w:cstheme="majorBidi"/>
          <w:b/>
          <w:bCs/>
          <w:sz w:val="24"/>
          <w:szCs w:val="24"/>
        </w:rPr>
        <w:t>A/HRC/62/43</w:t>
      </w:r>
    </w:p>
    <w:p w14:paraId="1724F7AF" w14:textId="7DB7137E" w:rsidR="00B94654" w:rsidRPr="00D72032" w:rsidRDefault="00476504" w:rsidP="00EF7908">
      <w:pPr>
        <w:spacing w:after="80" w:line="240" w:lineRule="auto"/>
        <w:jc w:val="center"/>
        <w:rPr>
          <w:rFonts w:ascii="Times New Roman" w:hAnsi="Times New Roman" w:cs="Times New Roman"/>
          <w:b/>
          <w:sz w:val="24"/>
          <w:szCs w:val="24"/>
          <w:lang w:val="en-GB"/>
        </w:rPr>
      </w:pPr>
      <w:r w:rsidRPr="00D72032">
        <w:rPr>
          <w:rFonts w:ascii="Times New Roman" w:hAnsi="Times New Roman" w:cs="Times New Roman"/>
          <w:sz w:val="24"/>
          <w:szCs w:val="24"/>
        </w:rPr>
        <w:t>6</w:t>
      </w:r>
      <w:r w:rsidR="00E94F7E" w:rsidRPr="00D72032">
        <w:rPr>
          <w:rFonts w:ascii="Times New Roman" w:hAnsi="Times New Roman" w:cs="Times New Roman"/>
          <w:sz w:val="24"/>
          <w:szCs w:val="24"/>
        </w:rPr>
        <w:t>2</w:t>
      </w:r>
      <w:r w:rsidR="00E94F7E" w:rsidRPr="00D72032">
        <w:rPr>
          <w:rFonts w:ascii="Times New Roman" w:hAnsi="Times New Roman" w:cs="Times New Roman"/>
          <w:sz w:val="24"/>
          <w:szCs w:val="24"/>
          <w:vertAlign w:val="superscript"/>
        </w:rPr>
        <w:t>nd</w:t>
      </w:r>
      <w:r w:rsidR="000666CB" w:rsidRPr="00D72032">
        <w:rPr>
          <w:rFonts w:ascii="Times New Roman" w:hAnsi="Times New Roman" w:cs="Times New Roman"/>
          <w:sz w:val="24"/>
          <w:szCs w:val="24"/>
        </w:rPr>
        <w:t xml:space="preserve"> </w:t>
      </w:r>
      <w:r w:rsidR="00783F72" w:rsidRPr="00D72032">
        <w:rPr>
          <w:rFonts w:ascii="Times New Roman" w:hAnsi="Times New Roman" w:cs="Times New Roman"/>
          <w:sz w:val="24"/>
          <w:szCs w:val="24"/>
        </w:rPr>
        <w:t>s</w:t>
      </w:r>
      <w:r w:rsidR="000666CB" w:rsidRPr="00D72032">
        <w:rPr>
          <w:rFonts w:ascii="Times New Roman" w:hAnsi="Times New Roman" w:cs="Times New Roman"/>
          <w:sz w:val="24"/>
          <w:szCs w:val="24"/>
        </w:rPr>
        <w:t xml:space="preserve">ession of the </w:t>
      </w:r>
      <w:r w:rsidR="0089264A" w:rsidRPr="00D72032">
        <w:rPr>
          <w:rFonts w:ascii="Times New Roman" w:hAnsi="Times New Roman" w:cs="Times New Roman"/>
          <w:sz w:val="24"/>
          <w:szCs w:val="24"/>
        </w:rPr>
        <w:t>Human Rights Council</w:t>
      </w:r>
      <w:r w:rsidR="002D6FB9" w:rsidRPr="00D72032">
        <w:rPr>
          <w:rFonts w:ascii="Times New Roman" w:hAnsi="Times New Roman" w:cs="Times New Roman"/>
          <w:sz w:val="24"/>
          <w:szCs w:val="24"/>
        </w:rPr>
        <w:t xml:space="preserve"> </w:t>
      </w:r>
      <w:r w:rsidR="00471D80" w:rsidRPr="00D72032">
        <w:rPr>
          <w:rFonts w:ascii="Times New Roman" w:hAnsi="Times New Roman" w:cs="Times New Roman"/>
          <w:sz w:val="24"/>
          <w:szCs w:val="24"/>
        </w:rPr>
        <w:br/>
      </w:r>
    </w:p>
    <w:p w14:paraId="20593B7B" w14:textId="77777777" w:rsidR="000D5D76" w:rsidRPr="00D72032" w:rsidRDefault="000D5D76" w:rsidP="00A0134F">
      <w:pPr>
        <w:spacing w:after="80" w:line="240" w:lineRule="auto"/>
        <w:rPr>
          <w:rFonts w:ascii="Times New Roman" w:hAnsi="Times New Roman" w:cs="Times New Roman"/>
          <w:b/>
          <w:bCs/>
          <w:color w:val="000000"/>
          <w:sz w:val="24"/>
          <w:szCs w:val="24"/>
        </w:rPr>
      </w:pPr>
    </w:p>
    <w:p w14:paraId="423D9149" w14:textId="3E8BFBD1" w:rsidR="00B94654" w:rsidRPr="00D72032" w:rsidRDefault="00B94654" w:rsidP="00A0134F">
      <w:pPr>
        <w:spacing w:after="80" w:line="240" w:lineRule="auto"/>
        <w:rPr>
          <w:rFonts w:ascii="Times New Roman" w:hAnsi="Times New Roman" w:cs="Times New Roman"/>
          <w:b/>
          <w:bCs/>
          <w:color w:val="000000"/>
          <w:sz w:val="24"/>
          <w:szCs w:val="24"/>
        </w:rPr>
      </w:pPr>
      <w:r w:rsidRPr="00D72032">
        <w:rPr>
          <w:rFonts w:ascii="Times New Roman" w:hAnsi="Times New Roman" w:cs="Times New Roman"/>
          <w:b/>
          <w:bCs/>
          <w:color w:val="000000"/>
          <w:sz w:val="24"/>
          <w:szCs w:val="24"/>
        </w:rPr>
        <w:t xml:space="preserve">Theme of the report: </w:t>
      </w:r>
      <w:r w:rsidR="00D72032" w:rsidRPr="00D72032">
        <w:rPr>
          <w:rFonts w:asciiTheme="majorBidi" w:hAnsiTheme="majorBidi" w:cstheme="majorBidi"/>
          <w:b/>
          <w:bCs/>
          <w:sz w:val="24"/>
          <w:szCs w:val="24"/>
        </w:rPr>
        <w:t>Principles for Judicial Appointments</w:t>
      </w:r>
    </w:p>
    <w:p w14:paraId="2DAD0633" w14:textId="77777777" w:rsidR="004C46F9" w:rsidRPr="00D72032" w:rsidRDefault="004C46F9" w:rsidP="00A0134F">
      <w:pPr>
        <w:spacing w:after="80" w:line="240" w:lineRule="auto"/>
        <w:jc w:val="both"/>
        <w:rPr>
          <w:rFonts w:ascii="Times New Roman" w:hAnsi="Times New Roman" w:cs="Times New Roman"/>
          <w:color w:val="000000"/>
          <w:sz w:val="24"/>
          <w:szCs w:val="24"/>
          <w:lang w:val="en-GB"/>
        </w:rPr>
      </w:pPr>
    </w:p>
    <w:p w14:paraId="32B97791" w14:textId="132AA912" w:rsidR="004C46F9" w:rsidRPr="00D72032" w:rsidRDefault="004C46F9" w:rsidP="00A0134F">
      <w:pPr>
        <w:spacing w:after="80" w:line="240" w:lineRule="auto"/>
        <w:jc w:val="both"/>
        <w:rPr>
          <w:rFonts w:ascii="Times New Roman" w:hAnsi="Times New Roman" w:cs="Times New Roman"/>
          <w:b/>
          <w:bCs/>
          <w:color w:val="000000"/>
          <w:sz w:val="24"/>
          <w:szCs w:val="24"/>
          <w:lang w:val="en-GB"/>
        </w:rPr>
      </w:pPr>
      <w:r w:rsidRPr="00D72032">
        <w:rPr>
          <w:rFonts w:ascii="Times New Roman" w:hAnsi="Times New Roman" w:cs="Times New Roman"/>
          <w:b/>
          <w:bCs/>
          <w:color w:val="000000"/>
          <w:sz w:val="24"/>
          <w:szCs w:val="24"/>
          <w:lang w:val="en-GB"/>
        </w:rPr>
        <w:t>Summary</w:t>
      </w:r>
      <w:r w:rsidR="00D72032" w:rsidRPr="00D72032">
        <w:rPr>
          <w:rFonts w:ascii="Times New Roman" w:hAnsi="Times New Roman" w:cs="Times New Roman"/>
          <w:b/>
          <w:bCs/>
          <w:color w:val="000000"/>
          <w:sz w:val="24"/>
          <w:szCs w:val="24"/>
          <w:lang w:val="en-GB"/>
        </w:rPr>
        <w:t>:</w:t>
      </w:r>
    </w:p>
    <w:p w14:paraId="2927A21B" w14:textId="4A1657ED" w:rsidR="00D72032" w:rsidRPr="00D72032" w:rsidRDefault="00D72032" w:rsidP="00D72032">
      <w:pPr>
        <w:spacing w:after="0" w:line="240" w:lineRule="auto"/>
        <w:ind w:firstLine="567"/>
        <w:jc w:val="both"/>
        <w:rPr>
          <w:rFonts w:ascii="Times New Roman" w:hAnsi="Times New Roman"/>
          <w:sz w:val="24"/>
          <w:szCs w:val="24"/>
        </w:rPr>
      </w:pPr>
      <w:r w:rsidRPr="00D72032">
        <w:rPr>
          <w:rFonts w:ascii="Times New Roman" w:hAnsi="Times New Roman"/>
          <w:sz w:val="24"/>
          <w:szCs w:val="24"/>
        </w:rPr>
        <w:t xml:space="preserve">In this report, the Special Rapporteur prepared a substantive and in-depth analysis of judicial appointments. </w:t>
      </w:r>
      <w:r>
        <w:rPr>
          <w:rFonts w:ascii="Times New Roman" w:hAnsi="Times New Roman"/>
          <w:sz w:val="24"/>
          <w:szCs w:val="24"/>
        </w:rPr>
        <w:t>She</w:t>
      </w:r>
      <w:r w:rsidRPr="00D72032">
        <w:rPr>
          <w:rFonts w:ascii="Times New Roman" w:hAnsi="Times New Roman"/>
          <w:sz w:val="24"/>
          <w:szCs w:val="24"/>
        </w:rPr>
        <w:t xml:space="preserve"> sets out principles aimed at ensuring that judicial selection and appointment </w:t>
      </w:r>
      <w:r>
        <w:rPr>
          <w:rFonts w:ascii="Times New Roman" w:hAnsi="Times New Roman"/>
          <w:sz w:val="24"/>
          <w:szCs w:val="24"/>
        </w:rPr>
        <w:t xml:space="preserve">processes </w:t>
      </w:r>
      <w:r w:rsidRPr="00D72032">
        <w:rPr>
          <w:rFonts w:ascii="Times New Roman" w:hAnsi="Times New Roman"/>
          <w:sz w:val="24"/>
          <w:szCs w:val="24"/>
        </w:rPr>
        <w:t xml:space="preserve">that reinforce independence and impartiality and sustain public confidence in the administration of justice. It draws on international human rights law, regional norms and jurisprudence, and guidance from authoritative expert bodies, the principles set out minimum safeguards applicable across various institutional models. </w:t>
      </w:r>
    </w:p>
    <w:p w14:paraId="7082B47B" w14:textId="77777777" w:rsidR="00D72032" w:rsidRPr="00D72032" w:rsidRDefault="00D72032" w:rsidP="00D72032">
      <w:pPr>
        <w:spacing w:after="0" w:line="240" w:lineRule="auto"/>
        <w:jc w:val="both"/>
        <w:rPr>
          <w:rFonts w:ascii="Times New Roman" w:hAnsi="Times New Roman"/>
          <w:sz w:val="24"/>
          <w:szCs w:val="24"/>
        </w:rPr>
      </w:pPr>
      <w:r w:rsidRPr="00D72032">
        <w:rPr>
          <w:rFonts w:ascii="Times New Roman" w:hAnsi="Times New Roman"/>
          <w:sz w:val="24"/>
          <w:szCs w:val="24"/>
        </w:rPr>
        <w:tab/>
        <w:t>The report groups these guidelines into three areas. First, the principles address the institutional prerequisites for judicial selection and appointments, including the need for a clear legal framework, independent and impartial selection authorities, and strict limits on provisional or temporary appointments that may expose judges to undue influence.</w:t>
      </w:r>
    </w:p>
    <w:p w14:paraId="6152C83F" w14:textId="77777777" w:rsidR="00D72032" w:rsidRPr="00D72032" w:rsidRDefault="00D72032" w:rsidP="00D72032">
      <w:pPr>
        <w:spacing w:after="0" w:line="240" w:lineRule="auto"/>
        <w:jc w:val="both"/>
        <w:rPr>
          <w:rFonts w:ascii="Times New Roman" w:hAnsi="Times New Roman"/>
          <w:sz w:val="24"/>
          <w:szCs w:val="24"/>
        </w:rPr>
      </w:pPr>
      <w:r w:rsidRPr="00D72032">
        <w:rPr>
          <w:rFonts w:ascii="Times New Roman" w:hAnsi="Times New Roman"/>
          <w:sz w:val="24"/>
          <w:szCs w:val="24"/>
        </w:rPr>
        <w:tab/>
        <w:t>Second, the principles encapsulate the criteria governing individual judicial selection, emphasizing merit as the central standard, within broader systems designed to ensure diversity. Selection processes should rely on objective and pre-established criteria, incorporate integrity screening and impartiality safeguards, and promote diversity and representativeness so that the judiciary reflects the society it serves.</w:t>
      </w:r>
    </w:p>
    <w:p w14:paraId="3FD8F294" w14:textId="77777777" w:rsidR="00D72032" w:rsidRPr="00D72032" w:rsidRDefault="00D72032" w:rsidP="00D72032">
      <w:pPr>
        <w:spacing w:after="0" w:line="240" w:lineRule="auto"/>
        <w:jc w:val="both"/>
        <w:rPr>
          <w:rFonts w:ascii="Times New Roman" w:hAnsi="Times New Roman"/>
          <w:sz w:val="24"/>
          <w:szCs w:val="24"/>
        </w:rPr>
      </w:pPr>
      <w:r w:rsidRPr="00D72032">
        <w:rPr>
          <w:rFonts w:ascii="Times New Roman" w:hAnsi="Times New Roman"/>
          <w:sz w:val="24"/>
          <w:szCs w:val="24"/>
        </w:rPr>
        <w:tab/>
        <w:t xml:space="preserve">Third, the principles set </w:t>
      </w:r>
      <w:proofErr w:type="gramStart"/>
      <w:r w:rsidRPr="00D72032">
        <w:rPr>
          <w:rFonts w:ascii="Times New Roman" w:hAnsi="Times New Roman"/>
          <w:sz w:val="24"/>
          <w:szCs w:val="24"/>
        </w:rPr>
        <w:t>out</w:t>
      </w:r>
      <w:proofErr w:type="gramEnd"/>
      <w:r w:rsidRPr="00D72032">
        <w:rPr>
          <w:rFonts w:ascii="Times New Roman" w:hAnsi="Times New Roman"/>
          <w:sz w:val="24"/>
          <w:szCs w:val="24"/>
        </w:rPr>
        <w:t xml:space="preserve"> process guarantees. These include transparency at key stages of the process, equality of access to judicial office, structured and fair assessment methods, reasoned decision-making, timely completion of appointments and assumption of office, effective mechanisms for challenging irregularities, and opportunities for meaningful civil society participation.</w:t>
      </w:r>
    </w:p>
    <w:p w14:paraId="68F47A0B" w14:textId="5637F976" w:rsidR="001332E5" w:rsidRPr="00D72032" w:rsidRDefault="00D72032" w:rsidP="00D72032">
      <w:pPr>
        <w:spacing w:after="0" w:line="240" w:lineRule="auto"/>
        <w:jc w:val="both"/>
        <w:rPr>
          <w:rFonts w:ascii="Times New Roman" w:hAnsi="Times New Roman"/>
          <w:sz w:val="24"/>
          <w:szCs w:val="24"/>
        </w:rPr>
      </w:pPr>
      <w:r w:rsidRPr="00D72032">
        <w:rPr>
          <w:rFonts w:ascii="Times New Roman" w:hAnsi="Times New Roman"/>
          <w:sz w:val="24"/>
          <w:szCs w:val="24"/>
        </w:rPr>
        <w:tab/>
        <w:t xml:space="preserve">In closing, the Special Rapporteur highlights that </w:t>
      </w:r>
      <w:proofErr w:type="gramStart"/>
      <w:r w:rsidRPr="00D72032">
        <w:rPr>
          <w:rFonts w:ascii="Times New Roman" w:hAnsi="Times New Roman"/>
          <w:sz w:val="24"/>
          <w:szCs w:val="24"/>
        </w:rPr>
        <w:t>in order to</w:t>
      </w:r>
      <w:proofErr w:type="gramEnd"/>
      <w:r w:rsidRPr="00D72032">
        <w:rPr>
          <w:rFonts w:ascii="Times New Roman" w:hAnsi="Times New Roman"/>
          <w:sz w:val="24"/>
          <w:szCs w:val="24"/>
        </w:rPr>
        <w:t xml:space="preserve"> be meaningful, these principles should be translated into context at the appropriate local, national, and, where relevant, regional levels, through structured participatory consultation with all relevant stakeholders</w:t>
      </w:r>
    </w:p>
    <w:p w14:paraId="5B97610D" w14:textId="77777777" w:rsidR="004C46F9" w:rsidRPr="00D72032" w:rsidRDefault="004C46F9" w:rsidP="00A0134F">
      <w:pPr>
        <w:spacing w:after="80" w:line="240" w:lineRule="auto"/>
        <w:rPr>
          <w:rFonts w:ascii="Times New Roman" w:hAnsi="Times New Roman" w:cs="Times New Roman"/>
          <w:b/>
          <w:color w:val="000000"/>
          <w:sz w:val="24"/>
          <w:szCs w:val="24"/>
        </w:rPr>
      </w:pPr>
    </w:p>
    <w:p w14:paraId="7EFE5E74" w14:textId="41AE6CF9" w:rsidR="006958C4" w:rsidRPr="00D72032" w:rsidRDefault="00804C2E" w:rsidP="00A0134F">
      <w:pPr>
        <w:spacing w:after="80" w:line="240" w:lineRule="auto"/>
        <w:rPr>
          <w:rFonts w:ascii="Times New Roman" w:hAnsi="Times New Roman" w:cs="Times New Roman"/>
          <w:color w:val="000000"/>
          <w:sz w:val="24"/>
          <w:szCs w:val="24"/>
        </w:rPr>
      </w:pPr>
      <w:r w:rsidRPr="00D72032">
        <w:rPr>
          <w:rFonts w:ascii="Times New Roman" w:hAnsi="Times New Roman" w:cs="Times New Roman"/>
          <w:b/>
          <w:color w:val="000000"/>
          <w:sz w:val="24"/>
          <w:szCs w:val="24"/>
        </w:rPr>
        <w:t xml:space="preserve">Suggested points of engagement for States during the </w:t>
      </w:r>
      <w:r w:rsidR="004C46F9" w:rsidRPr="00D72032">
        <w:rPr>
          <w:rFonts w:ascii="Times New Roman" w:hAnsi="Times New Roman" w:cs="Times New Roman"/>
          <w:b/>
          <w:color w:val="000000"/>
          <w:sz w:val="24"/>
          <w:szCs w:val="24"/>
        </w:rPr>
        <w:t>i</w:t>
      </w:r>
      <w:r w:rsidRPr="00D72032">
        <w:rPr>
          <w:rFonts w:ascii="Times New Roman" w:hAnsi="Times New Roman" w:cs="Times New Roman"/>
          <w:b/>
          <w:color w:val="000000"/>
          <w:sz w:val="24"/>
          <w:szCs w:val="24"/>
        </w:rPr>
        <w:t xml:space="preserve">nteractive </w:t>
      </w:r>
      <w:r w:rsidR="004C46F9" w:rsidRPr="00D72032">
        <w:rPr>
          <w:rFonts w:ascii="Times New Roman" w:hAnsi="Times New Roman" w:cs="Times New Roman"/>
          <w:b/>
          <w:color w:val="000000"/>
          <w:sz w:val="24"/>
          <w:szCs w:val="24"/>
        </w:rPr>
        <w:t>d</w:t>
      </w:r>
      <w:r w:rsidRPr="00D72032">
        <w:rPr>
          <w:rFonts w:ascii="Times New Roman" w:hAnsi="Times New Roman" w:cs="Times New Roman"/>
          <w:b/>
          <w:color w:val="000000"/>
          <w:sz w:val="24"/>
          <w:szCs w:val="24"/>
        </w:rPr>
        <w:t>ialogue</w:t>
      </w:r>
      <w:r w:rsidR="006958C4" w:rsidRPr="00D72032">
        <w:rPr>
          <w:rFonts w:ascii="Times New Roman" w:hAnsi="Times New Roman" w:cs="Times New Roman"/>
          <w:color w:val="000000"/>
          <w:sz w:val="24"/>
          <w:szCs w:val="24"/>
        </w:rPr>
        <w:t>:</w:t>
      </w:r>
    </w:p>
    <w:p w14:paraId="054F662E" w14:textId="77777777" w:rsidR="004C46F9" w:rsidRPr="00D72032" w:rsidRDefault="004C46F9" w:rsidP="004C46F9">
      <w:pPr>
        <w:pStyle w:val="ListParagraph"/>
        <w:spacing w:after="80" w:line="240" w:lineRule="auto"/>
        <w:ind w:left="709"/>
        <w:jc w:val="both"/>
        <w:rPr>
          <w:rFonts w:ascii="Times New Roman" w:hAnsi="Times New Roman" w:cs="Times New Roman"/>
          <w:color w:val="000000"/>
          <w:sz w:val="24"/>
          <w:szCs w:val="24"/>
        </w:rPr>
      </w:pPr>
    </w:p>
    <w:p w14:paraId="6D3AD485" w14:textId="4F3B1162" w:rsidR="00D72032" w:rsidRPr="00D72032" w:rsidRDefault="00D72032" w:rsidP="00D72032">
      <w:pPr>
        <w:pStyle w:val="ListParagraph"/>
        <w:numPr>
          <w:ilvl w:val="0"/>
          <w:numId w:val="4"/>
        </w:numPr>
        <w:spacing w:after="80" w:line="252" w:lineRule="auto"/>
        <w:jc w:val="both"/>
        <w:rPr>
          <w:rFonts w:ascii="Times New Roman" w:eastAsia="Times New Roman" w:hAnsi="Times New Roman" w:cs="Times New Roman"/>
          <w:color w:val="000000" w:themeColor="text1"/>
          <w:sz w:val="24"/>
          <w:szCs w:val="24"/>
        </w:rPr>
      </w:pPr>
      <w:r w:rsidRPr="00D72032">
        <w:rPr>
          <w:rFonts w:ascii="Times New Roman" w:eastAsia="Times New Roman" w:hAnsi="Times New Roman" w:cs="Times New Roman"/>
          <w:color w:val="000000" w:themeColor="text1"/>
          <w:sz w:val="24"/>
          <w:szCs w:val="24"/>
        </w:rPr>
        <w:t>What good practices can you share with the Council on legal frameworks for judicial appointments that ensure merit-based selection?</w:t>
      </w:r>
    </w:p>
    <w:p w14:paraId="45B2458C" w14:textId="2E75834C" w:rsidR="00783F72" w:rsidRPr="00D72032" w:rsidRDefault="00476504" w:rsidP="00D72032">
      <w:pPr>
        <w:pStyle w:val="ListParagraph"/>
        <w:numPr>
          <w:ilvl w:val="0"/>
          <w:numId w:val="4"/>
        </w:numPr>
        <w:spacing w:after="80" w:line="252" w:lineRule="auto"/>
        <w:jc w:val="both"/>
        <w:rPr>
          <w:rFonts w:ascii="Times New Roman" w:eastAsia="Times New Roman" w:hAnsi="Times New Roman" w:cs="Times New Roman"/>
          <w:color w:val="000000" w:themeColor="text1"/>
          <w:sz w:val="24"/>
          <w:szCs w:val="24"/>
        </w:rPr>
      </w:pPr>
      <w:r w:rsidRPr="00D72032">
        <w:rPr>
          <w:rFonts w:ascii="Times New Roman" w:eastAsia="Times New Roman" w:hAnsi="Times New Roman" w:cs="Times New Roman"/>
          <w:i/>
          <w:iCs/>
          <w:color w:val="000000" w:themeColor="text1"/>
          <w:sz w:val="24"/>
          <w:szCs w:val="24"/>
        </w:rPr>
        <w:t xml:space="preserve"> </w:t>
      </w:r>
      <w:r w:rsidR="00D72032" w:rsidRPr="00D72032">
        <w:rPr>
          <w:rFonts w:ascii="Times New Roman" w:eastAsia="Times New Roman" w:hAnsi="Times New Roman" w:cs="Times New Roman"/>
          <w:color w:val="000000" w:themeColor="text1"/>
          <w:sz w:val="24"/>
          <w:szCs w:val="24"/>
        </w:rPr>
        <w:t>How can States ensure that selection authorities are independent and impartial?</w:t>
      </w:r>
    </w:p>
    <w:p w14:paraId="09FA6362" w14:textId="340F334E" w:rsidR="00D72032" w:rsidRPr="00D72032" w:rsidRDefault="00D72032" w:rsidP="00D72032">
      <w:pPr>
        <w:pStyle w:val="ListParagraph"/>
        <w:numPr>
          <w:ilvl w:val="0"/>
          <w:numId w:val="4"/>
        </w:numPr>
        <w:spacing w:after="80" w:line="252" w:lineRule="auto"/>
        <w:jc w:val="both"/>
        <w:rPr>
          <w:rFonts w:ascii="Times New Roman" w:eastAsia="Times New Roman" w:hAnsi="Times New Roman" w:cs="Times New Roman"/>
          <w:color w:val="000000" w:themeColor="text1"/>
          <w:sz w:val="24"/>
          <w:szCs w:val="24"/>
        </w:rPr>
      </w:pPr>
      <w:r w:rsidRPr="00D72032">
        <w:rPr>
          <w:rFonts w:ascii="Times New Roman" w:eastAsia="Times New Roman" w:hAnsi="Times New Roman" w:cs="Times New Roman"/>
          <w:color w:val="000000" w:themeColor="text1"/>
          <w:sz w:val="24"/>
          <w:szCs w:val="24"/>
        </w:rPr>
        <w:t>How can States effectively screen for integrity and honorability?</w:t>
      </w:r>
    </w:p>
    <w:p w14:paraId="3BDF0ABB" w14:textId="05F5983B" w:rsidR="00D72032" w:rsidRPr="00D72032" w:rsidRDefault="00D72032" w:rsidP="00D72032">
      <w:pPr>
        <w:pStyle w:val="ListParagraph"/>
        <w:numPr>
          <w:ilvl w:val="0"/>
          <w:numId w:val="4"/>
        </w:numPr>
        <w:spacing w:after="80" w:line="252" w:lineRule="auto"/>
        <w:jc w:val="both"/>
        <w:rPr>
          <w:rFonts w:ascii="Times New Roman" w:eastAsia="Times New Roman" w:hAnsi="Times New Roman" w:cs="Times New Roman"/>
          <w:color w:val="000000" w:themeColor="text1"/>
          <w:sz w:val="24"/>
          <w:szCs w:val="24"/>
        </w:rPr>
      </w:pPr>
      <w:r w:rsidRPr="00D72032">
        <w:rPr>
          <w:rFonts w:ascii="Times New Roman" w:eastAsia="Times New Roman" w:hAnsi="Times New Roman" w:cs="Times New Roman"/>
          <w:color w:val="000000" w:themeColor="text1"/>
          <w:sz w:val="24"/>
          <w:szCs w:val="24"/>
        </w:rPr>
        <w:t xml:space="preserve">What is the best way to ensure that the judicial </w:t>
      </w:r>
      <w:proofErr w:type="spellStart"/>
      <w:r w:rsidRPr="00D72032">
        <w:rPr>
          <w:rFonts w:ascii="Times New Roman" w:eastAsia="Times New Roman" w:hAnsi="Times New Roman" w:cs="Times New Roman"/>
          <w:color w:val="000000" w:themeColor="text1"/>
          <w:sz w:val="24"/>
          <w:szCs w:val="24"/>
        </w:rPr>
        <w:t>appointmnents</w:t>
      </w:r>
      <w:proofErr w:type="spellEnd"/>
      <w:r w:rsidRPr="00D72032">
        <w:rPr>
          <w:rFonts w:ascii="Times New Roman" w:eastAsia="Times New Roman" w:hAnsi="Times New Roman" w:cs="Times New Roman"/>
          <w:color w:val="000000" w:themeColor="text1"/>
          <w:sz w:val="24"/>
          <w:szCs w:val="24"/>
        </w:rPr>
        <w:t xml:space="preserve"> reflect the society that judges are working for?</w:t>
      </w:r>
    </w:p>
    <w:p w14:paraId="0CECC66A" w14:textId="7E9A28B6" w:rsidR="00D72032" w:rsidRPr="00D72032" w:rsidRDefault="00D72032" w:rsidP="00D72032">
      <w:pPr>
        <w:pStyle w:val="ListParagraph"/>
        <w:numPr>
          <w:ilvl w:val="0"/>
          <w:numId w:val="4"/>
        </w:numPr>
        <w:spacing w:after="80" w:line="252" w:lineRule="auto"/>
        <w:jc w:val="both"/>
        <w:rPr>
          <w:rFonts w:ascii="Times New Roman" w:eastAsia="Times New Roman" w:hAnsi="Times New Roman" w:cs="Times New Roman"/>
          <w:color w:val="000000" w:themeColor="text1"/>
          <w:sz w:val="24"/>
          <w:szCs w:val="24"/>
        </w:rPr>
      </w:pPr>
      <w:r w:rsidRPr="00D72032">
        <w:rPr>
          <w:rFonts w:ascii="Times New Roman" w:eastAsia="Times New Roman" w:hAnsi="Times New Roman" w:cs="Times New Roman"/>
          <w:color w:val="000000" w:themeColor="text1"/>
          <w:sz w:val="24"/>
          <w:szCs w:val="24"/>
        </w:rPr>
        <w:t>Can you share good examples of civil society engagement in judicial appointments?</w:t>
      </w:r>
    </w:p>
    <w:p w14:paraId="372D8CEE" w14:textId="27431BF3" w:rsidR="00783F72" w:rsidRPr="00D72032" w:rsidRDefault="00783F72" w:rsidP="00D72032">
      <w:pPr>
        <w:pStyle w:val="ListParagraph"/>
        <w:spacing w:after="80" w:line="252" w:lineRule="auto"/>
        <w:jc w:val="both"/>
        <w:rPr>
          <w:rFonts w:ascii="Times New Roman" w:eastAsia="Times New Roman" w:hAnsi="Times New Roman" w:cs="Times New Roman"/>
          <w:color w:val="000000" w:themeColor="text1"/>
          <w:sz w:val="24"/>
          <w:szCs w:val="24"/>
        </w:rPr>
      </w:pPr>
    </w:p>
    <w:p w14:paraId="6D45DD44" w14:textId="7B18C540" w:rsidR="0089264A" w:rsidRPr="00D72032" w:rsidRDefault="0089264A" w:rsidP="00D72032">
      <w:pPr>
        <w:pStyle w:val="ListParagraph"/>
        <w:spacing w:after="80" w:line="252" w:lineRule="auto"/>
        <w:jc w:val="both"/>
        <w:rPr>
          <w:rFonts w:ascii="Times New Roman" w:eastAsia="Times New Roman" w:hAnsi="Times New Roman" w:cs="Times New Roman"/>
          <w:color w:val="000000" w:themeColor="text1"/>
          <w:sz w:val="24"/>
          <w:szCs w:val="24"/>
        </w:rPr>
      </w:pPr>
    </w:p>
    <w:sectPr w:rsidR="0089264A" w:rsidRPr="00D72032"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618D" w14:textId="77777777" w:rsidR="00F635CE" w:rsidRDefault="00F635CE" w:rsidP="00DA7C55">
      <w:pPr>
        <w:spacing w:after="0" w:line="240" w:lineRule="auto"/>
      </w:pPr>
      <w:r>
        <w:separator/>
      </w:r>
    </w:p>
  </w:endnote>
  <w:endnote w:type="continuationSeparator" w:id="0">
    <w:p w14:paraId="505547FC" w14:textId="77777777" w:rsidR="00F635CE" w:rsidRDefault="00F635CE"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A8C2" w14:textId="77777777" w:rsidR="00F635CE" w:rsidRDefault="00F635CE" w:rsidP="00DA7C55">
      <w:pPr>
        <w:spacing w:after="0" w:line="240" w:lineRule="auto"/>
      </w:pPr>
      <w:r>
        <w:separator/>
      </w:r>
    </w:p>
  </w:footnote>
  <w:footnote w:type="continuationSeparator" w:id="0">
    <w:p w14:paraId="0E89B526" w14:textId="77777777" w:rsidR="00F635CE" w:rsidRDefault="00F635CE"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226071"/>
    <w:rsid w:val="0025498D"/>
    <w:rsid w:val="002802C5"/>
    <w:rsid w:val="0029734A"/>
    <w:rsid w:val="002D6FB9"/>
    <w:rsid w:val="002F406E"/>
    <w:rsid w:val="00330EB2"/>
    <w:rsid w:val="00355423"/>
    <w:rsid w:val="0036670A"/>
    <w:rsid w:val="0038078D"/>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7214C"/>
    <w:rsid w:val="006958C4"/>
    <w:rsid w:val="006A3FD6"/>
    <w:rsid w:val="00712749"/>
    <w:rsid w:val="0072728D"/>
    <w:rsid w:val="00742D3E"/>
    <w:rsid w:val="00783F72"/>
    <w:rsid w:val="007B3502"/>
    <w:rsid w:val="00804C2E"/>
    <w:rsid w:val="008344E8"/>
    <w:rsid w:val="00870D8C"/>
    <w:rsid w:val="0089264A"/>
    <w:rsid w:val="008B7142"/>
    <w:rsid w:val="00900162"/>
    <w:rsid w:val="009277D3"/>
    <w:rsid w:val="0095525A"/>
    <w:rsid w:val="009838AA"/>
    <w:rsid w:val="00A0134F"/>
    <w:rsid w:val="00A06072"/>
    <w:rsid w:val="00A54EBE"/>
    <w:rsid w:val="00A73EB4"/>
    <w:rsid w:val="00A86AE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01CFD"/>
    <w:rsid w:val="00D11F29"/>
    <w:rsid w:val="00D55799"/>
    <w:rsid w:val="00D71801"/>
    <w:rsid w:val="00D72032"/>
    <w:rsid w:val="00DA7C55"/>
    <w:rsid w:val="00E00135"/>
    <w:rsid w:val="00E15D7C"/>
    <w:rsid w:val="00E3404E"/>
    <w:rsid w:val="00E94F7E"/>
    <w:rsid w:val="00EF42E0"/>
    <w:rsid w:val="00EF7908"/>
    <w:rsid w:val="00F14182"/>
    <w:rsid w:val="00F40537"/>
    <w:rsid w:val="00F635CE"/>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3.xml><?xml version="1.0" encoding="utf-8"?>
<ds:datastoreItem xmlns:ds="http://schemas.openxmlformats.org/officeDocument/2006/customXml" ds:itemID="{7165605A-29D4-421A-B5B1-6ECBC4BC9F93}"/>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Melanie Santizo Sandoval</cp:lastModifiedBy>
  <cp:revision>2</cp:revision>
  <dcterms:created xsi:type="dcterms:W3CDTF">2026-06-22T13:03:00Z</dcterms:created>
  <dcterms:modified xsi:type="dcterms:W3CDTF">2026-06-22T13:03:00Z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