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9686" w14:textId="53BB5438" w:rsidR="00C6741B" w:rsidRPr="00E96112" w:rsidRDefault="00C6741B" w:rsidP="00C6741B">
      <w:pPr>
        <w:suppressAutoHyphens w:val="0"/>
        <w:spacing w:line="240" w:lineRule="auto"/>
        <w:rPr>
          <w:b/>
          <w:color w:val="0000CC"/>
          <w:sz w:val="24"/>
          <w:szCs w:val="24"/>
          <w:lang w:val="en-US"/>
        </w:rPr>
      </w:pPr>
      <w:bookmarkStart w:id="0" w:name="_Hlk161906909"/>
      <w:r w:rsidRPr="00E96112">
        <w:rPr>
          <w:b/>
          <w:color w:val="0000CC"/>
          <w:sz w:val="24"/>
          <w:szCs w:val="24"/>
          <w:lang w:val="en-US"/>
        </w:rPr>
        <w:t>A/HRC/61/L.</w:t>
      </w:r>
      <w:r>
        <w:rPr>
          <w:b/>
          <w:color w:val="0000CC"/>
          <w:sz w:val="24"/>
          <w:szCs w:val="24"/>
          <w:lang w:val="en-US"/>
        </w:rPr>
        <w:t>5</w:t>
      </w:r>
    </w:p>
    <w:p w14:paraId="245D6E65" w14:textId="77777777" w:rsidR="00C6741B" w:rsidRPr="00E96112" w:rsidRDefault="00C6741B" w:rsidP="00C6741B">
      <w:pPr>
        <w:suppressAutoHyphens w:val="0"/>
        <w:spacing w:line="240" w:lineRule="auto"/>
        <w:rPr>
          <w:b/>
          <w:color w:val="0000CC"/>
          <w:sz w:val="24"/>
          <w:szCs w:val="24"/>
          <w:lang w:val="en-US"/>
        </w:rPr>
      </w:pPr>
      <w:r w:rsidRPr="00E96112">
        <w:rPr>
          <w:b/>
          <w:color w:val="0000CC"/>
          <w:sz w:val="24"/>
          <w:szCs w:val="24"/>
          <w:lang w:val="en-US"/>
        </w:rPr>
        <w:t>Item 3</w:t>
      </w:r>
    </w:p>
    <w:p w14:paraId="2F60D8C2" w14:textId="0BC6E73A" w:rsidR="00C6741B" w:rsidRPr="00E96112" w:rsidRDefault="00C6741B" w:rsidP="00921789">
      <w:pPr>
        <w:suppressAutoHyphens w:val="0"/>
        <w:spacing w:line="240" w:lineRule="auto"/>
        <w:rPr>
          <w:b/>
          <w:color w:val="0000CC"/>
          <w:sz w:val="24"/>
          <w:szCs w:val="24"/>
          <w:lang w:val="en-US"/>
        </w:rPr>
      </w:pPr>
      <w:r w:rsidRPr="00E96112">
        <w:rPr>
          <w:b/>
          <w:color w:val="0000CC"/>
          <w:sz w:val="24"/>
          <w:szCs w:val="24"/>
          <w:lang w:val="en-US"/>
        </w:rPr>
        <w:t xml:space="preserve">Received from (main sponsors): </w:t>
      </w:r>
      <w:r w:rsidR="00921789" w:rsidRPr="00921789">
        <w:rPr>
          <w:b/>
          <w:bCs/>
          <w:color w:val="0000CC"/>
          <w:sz w:val="24"/>
          <w:szCs w:val="24"/>
        </w:rPr>
        <w:t>Mexico, New Zealand</w:t>
      </w:r>
    </w:p>
    <w:p w14:paraId="31684991" w14:textId="260AE73E" w:rsidR="00C6741B" w:rsidRPr="00E96112" w:rsidRDefault="00C6741B" w:rsidP="00C6741B">
      <w:pPr>
        <w:suppressAutoHyphens w:val="0"/>
        <w:spacing w:line="240" w:lineRule="auto"/>
        <w:rPr>
          <w:b/>
          <w:color w:val="0000CC"/>
          <w:sz w:val="24"/>
          <w:szCs w:val="24"/>
          <w:lang w:val="en-US"/>
        </w:rPr>
      </w:pPr>
      <w:r w:rsidRPr="00E96112">
        <w:rPr>
          <w:b/>
          <w:color w:val="0000CC"/>
          <w:sz w:val="24"/>
          <w:szCs w:val="24"/>
          <w:lang w:val="en-US"/>
        </w:rPr>
        <w:t>Date and time: 1</w:t>
      </w:r>
      <w:r w:rsidR="00921789">
        <w:rPr>
          <w:b/>
          <w:color w:val="0000CC"/>
          <w:sz w:val="24"/>
          <w:szCs w:val="24"/>
          <w:lang w:val="en-US"/>
        </w:rPr>
        <w:t>3</w:t>
      </w:r>
      <w:r w:rsidRPr="00E96112">
        <w:rPr>
          <w:b/>
          <w:color w:val="0000CC"/>
          <w:sz w:val="24"/>
          <w:szCs w:val="24"/>
          <w:lang w:val="en-US"/>
        </w:rPr>
        <w:t>/03/2026, 1</w:t>
      </w:r>
      <w:r w:rsidR="00576D26">
        <w:rPr>
          <w:b/>
          <w:color w:val="0000CC"/>
          <w:sz w:val="24"/>
          <w:szCs w:val="24"/>
          <w:lang w:val="en-US"/>
        </w:rPr>
        <w:t>5</w:t>
      </w:r>
      <w:r w:rsidRPr="00E96112">
        <w:rPr>
          <w:b/>
          <w:color w:val="0000CC"/>
          <w:sz w:val="24"/>
          <w:szCs w:val="24"/>
          <w:lang w:val="en-US"/>
        </w:rPr>
        <w:t>:</w:t>
      </w:r>
      <w:r w:rsidR="00576D26">
        <w:rPr>
          <w:b/>
          <w:color w:val="0000CC"/>
          <w:sz w:val="24"/>
          <w:szCs w:val="24"/>
          <w:lang w:val="en-US"/>
        </w:rPr>
        <w:t>42</w:t>
      </w:r>
    </w:p>
    <w:p w14:paraId="08DB1745" w14:textId="77777777" w:rsidR="00C6741B" w:rsidRPr="00E96112" w:rsidRDefault="00C6741B" w:rsidP="00C6741B">
      <w:pPr>
        <w:suppressAutoHyphens w:val="0"/>
        <w:spacing w:line="240" w:lineRule="auto"/>
        <w:rPr>
          <w:b/>
          <w:color w:val="0000CC"/>
          <w:sz w:val="24"/>
          <w:szCs w:val="24"/>
          <w:lang w:val="en-US"/>
        </w:rPr>
      </w:pPr>
      <w:r w:rsidRPr="00E96112">
        <w:rPr>
          <w:b/>
          <w:color w:val="0000CC"/>
          <w:sz w:val="24"/>
          <w:szCs w:val="24"/>
          <w:lang w:val="en-US"/>
        </w:rPr>
        <w:t>Initials: M</w:t>
      </w:r>
      <w:r>
        <w:rPr>
          <w:b/>
          <w:color w:val="0000CC"/>
          <w:sz w:val="24"/>
          <w:szCs w:val="24"/>
          <w:lang w:val="en-US"/>
        </w:rPr>
        <w:t>P</w:t>
      </w:r>
    </w:p>
    <w:p w14:paraId="58187281" w14:textId="6FA17124" w:rsidR="00C6741B" w:rsidRPr="00E96112" w:rsidRDefault="00C6741B" w:rsidP="00C6741B">
      <w:pPr>
        <w:suppressAutoHyphens w:val="0"/>
        <w:spacing w:line="240" w:lineRule="auto"/>
        <w:rPr>
          <w:b/>
          <w:color w:val="0000CC"/>
          <w:sz w:val="24"/>
          <w:szCs w:val="24"/>
          <w:lang w:val="en-US"/>
        </w:rPr>
      </w:pPr>
      <w:r w:rsidRPr="00E96112">
        <w:rPr>
          <w:b/>
          <w:color w:val="0000CC"/>
          <w:sz w:val="24"/>
          <w:szCs w:val="24"/>
          <w:lang w:val="en-US"/>
        </w:rPr>
        <w:t xml:space="preserve">Page 1 of </w:t>
      </w:r>
      <w:r w:rsidR="00576D26">
        <w:rPr>
          <w:b/>
          <w:color w:val="0000CC"/>
          <w:sz w:val="24"/>
          <w:szCs w:val="24"/>
          <w:lang w:val="en-US"/>
        </w:rPr>
        <w:t>7</w:t>
      </w:r>
    </w:p>
    <w:p w14:paraId="39DA780A" w14:textId="535F0296" w:rsidR="00EE06CD" w:rsidRPr="00FE2892" w:rsidRDefault="008769CA" w:rsidP="009C02B5">
      <w:pPr>
        <w:keepNext/>
        <w:keepLines/>
        <w:spacing w:before="360" w:after="240" w:line="270" w:lineRule="exact"/>
        <w:ind w:left="1134" w:right="1134"/>
        <w:rPr>
          <w:b/>
          <w:sz w:val="24"/>
          <w:lang w:val="en-US"/>
        </w:rPr>
      </w:pPr>
      <w:r w:rsidRPr="00FE2892">
        <w:rPr>
          <w:b/>
          <w:sz w:val="24"/>
          <w:lang w:val="en-US"/>
        </w:rPr>
        <w:t xml:space="preserve">The rights of persons with disabilities: </w:t>
      </w:r>
      <w:r w:rsidR="00BC22EE" w:rsidRPr="00FE2892">
        <w:rPr>
          <w:b/>
          <w:sz w:val="24"/>
          <w:lang w:val="en-US"/>
        </w:rPr>
        <w:t>disability inclusive digital technologies and infrastructure, including transport and housing</w:t>
      </w:r>
      <w:r w:rsidR="00BC22EE" w:rsidRPr="00FE2892" w:rsidDel="00E87EC1">
        <w:rPr>
          <w:b/>
          <w:sz w:val="24"/>
          <w:lang w:val="en-US"/>
        </w:rPr>
        <w:t xml:space="preserve"> </w:t>
      </w:r>
      <w:bookmarkEnd w:id="0"/>
    </w:p>
    <w:p w14:paraId="0D3BFAC4" w14:textId="410E3FBD" w:rsidR="00EE06CD" w:rsidRPr="00FE2892" w:rsidRDefault="001A524C" w:rsidP="00FE2DBD">
      <w:pPr>
        <w:spacing w:after="120" w:line="236" w:lineRule="atLeast"/>
        <w:ind w:left="1134" w:right="1134"/>
        <w:jc w:val="both"/>
        <w:rPr>
          <w:lang w:val="en-US"/>
        </w:rPr>
      </w:pPr>
      <w:r w:rsidRPr="00FE2892">
        <w:rPr>
          <w:lang w:val="en-US"/>
        </w:rPr>
        <w:tab/>
      </w:r>
      <w:r w:rsidR="00EE06CD" w:rsidRPr="00FE2892">
        <w:rPr>
          <w:lang w:val="en-US"/>
        </w:rPr>
        <w:tab/>
      </w:r>
      <w:r w:rsidR="00EE06CD" w:rsidRPr="00FE2892">
        <w:rPr>
          <w:i/>
          <w:lang w:val="en-US"/>
        </w:rPr>
        <w:t>The Human Rights Council</w:t>
      </w:r>
      <w:r w:rsidR="00EE06CD" w:rsidRPr="00FE2892">
        <w:rPr>
          <w:lang w:val="en-US"/>
        </w:rPr>
        <w:t>,</w:t>
      </w:r>
    </w:p>
    <w:p w14:paraId="1A4F8649" w14:textId="13C381A6" w:rsidR="005C1D6D" w:rsidRPr="00FE2892" w:rsidRDefault="00AB4880" w:rsidP="00FE2DBD">
      <w:pPr>
        <w:pStyle w:val="SingleTxtG"/>
        <w:spacing w:line="236" w:lineRule="atLeast"/>
        <w:rPr>
          <w:lang w:val="en-US"/>
        </w:rPr>
      </w:pPr>
      <w:r w:rsidRPr="00FE2892">
        <w:rPr>
          <w:i/>
          <w:iCs/>
          <w:lang w:val="en-US"/>
        </w:rPr>
        <w:tab/>
      </w:r>
      <w:r w:rsidRPr="00FE2892">
        <w:rPr>
          <w:i/>
          <w:iCs/>
          <w:lang w:val="en-US"/>
        </w:rPr>
        <w:tab/>
      </w:r>
      <w:r w:rsidR="008024BB" w:rsidRPr="00FE2892">
        <w:rPr>
          <w:i/>
          <w:iCs/>
          <w:lang w:val="en-US"/>
        </w:rPr>
        <w:t xml:space="preserve">PP1 </w:t>
      </w:r>
      <w:r w:rsidR="005C1D6D" w:rsidRPr="00FE2892">
        <w:rPr>
          <w:i/>
          <w:iCs/>
          <w:lang w:val="en-US"/>
        </w:rPr>
        <w:t xml:space="preserve">Reaffirming </w:t>
      </w:r>
      <w:r w:rsidR="005C1D6D" w:rsidRPr="00FE2892">
        <w:rPr>
          <w:lang w:val="en-US"/>
        </w:rPr>
        <w:t>the Convention on the Rights of Persons with Disabilities and the Optional Protocol thereto,</w:t>
      </w:r>
    </w:p>
    <w:p w14:paraId="77DF64F3" w14:textId="5F8410B1" w:rsidR="005C1D6D" w:rsidRPr="00FE2892" w:rsidRDefault="00AB4880" w:rsidP="00FE2DBD">
      <w:pPr>
        <w:pStyle w:val="SingleTxtG"/>
        <w:spacing w:line="236" w:lineRule="atLeast"/>
        <w:rPr>
          <w:lang w:val="en-US"/>
        </w:rPr>
      </w:pPr>
      <w:r w:rsidRPr="00FE2892">
        <w:rPr>
          <w:i/>
          <w:iCs/>
          <w:lang w:val="en-US"/>
        </w:rPr>
        <w:tab/>
      </w:r>
      <w:r w:rsidRPr="00FE2892">
        <w:rPr>
          <w:i/>
          <w:iCs/>
          <w:lang w:val="en-US"/>
        </w:rPr>
        <w:tab/>
      </w:r>
      <w:r w:rsidR="00B11503" w:rsidRPr="00FE2892">
        <w:rPr>
          <w:i/>
          <w:iCs/>
          <w:lang w:val="en-US"/>
        </w:rPr>
        <w:t xml:space="preserve">PP2 </w:t>
      </w:r>
      <w:r w:rsidR="005C1D6D" w:rsidRPr="00FE2892">
        <w:rPr>
          <w:i/>
          <w:iCs/>
          <w:lang w:val="en-US"/>
        </w:rPr>
        <w:t xml:space="preserve">Recalling </w:t>
      </w:r>
      <w:r w:rsidR="005C1D6D" w:rsidRPr="00FE2892">
        <w:rPr>
          <w:lang w:val="en-US"/>
        </w:rPr>
        <w:t>the universality, indivisibility, interdependence and interrelatedness of all human rights and fundamental freedoms and the need for persons with disabilities to be guaranteed the full enjoyment of their human rights and freedoms without discrimination,</w:t>
      </w:r>
    </w:p>
    <w:p w14:paraId="1E395732" w14:textId="06F5E9F8" w:rsidR="00BD4BCE" w:rsidRPr="009C02B5" w:rsidRDefault="00AB4880" w:rsidP="00BD4BCE">
      <w:pPr>
        <w:pStyle w:val="SingleTxtG"/>
        <w:spacing w:line="236" w:lineRule="atLeast"/>
        <w:rPr>
          <w:lang w:val="en-US"/>
        </w:rPr>
      </w:pPr>
      <w:r w:rsidRPr="00FE2892">
        <w:rPr>
          <w:i/>
          <w:iCs/>
          <w:lang w:val="en-US"/>
        </w:rPr>
        <w:tab/>
      </w:r>
      <w:r w:rsidRPr="00FE2892">
        <w:rPr>
          <w:i/>
          <w:iCs/>
          <w:lang w:val="en-US"/>
        </w:rPr>
        <w:tab/>
      </w:r>
      <w:r w:rsidR="00BD4BCE" w:rsidRPr="00FE2892">
        <w:rPr>
          <w:i/>
          <w:iCs/>
          <w:lang w:val="en-US"/>
        </w:rPr>
        <w:t xml:space="preserve">PP3 </w:t>
      </w:r>
      <w:r w:rsidR="00BD4BCE" w:rsidRPr="009C02B5">
        <w:rPr>
          <w:i/>
          <w:lang w:val="en-US"/>
        </w:rPr>
        <w:t xml:space="preserve">Recalling </w:t>
      </w:r>
      <w:r w:rsidR="00BD4BCE" w:rsidRPr="009C02B5">
        <w:rPr>
          <w:lang w:val="en-US"/>
        </w:rPr>
        <w:t>the Universal Declaration of Human Rights,</w:t>
      </w:r>
      <w:r w:rsidR="00BD4BCE" w:rsidRPr="009C02B5">
        <w:rPr>
          <w:i/>
          <w:lang w:val="en-US"/>
        </w:rPr>
        <w:t xml:space="preserve"> </w:t>
      </w:r>
      <w:r w:rsidR="00BD4BCE" w:rsidRPr="009C02B5">
        <w:rPr>
          <w:lang w:val="en-US"/>
        </w:rPr>
        <w:t>the Convention on the Elimination of All Forms of Discrimination against Women, the Convention on the Rights of the Child, the International Convention on the Elimination of All Forms of Racial Discrimination and all other relevant international human rights instruments,</w:t>
      </w:r>
    </w:p>
    <w:p w14:paraId="5030B497" w14:textId="5041FEC3" w:rsidR="005C1D6D" w:rsidRPr="009C02B5" w:rsidRDefault="00B11503" w:rsidP="005776BD">
      <w:pPr>
        <w:pStyle w:val="SingleTxtG"/>
        <w:spacing w:line="236" w:lineRule="atLeast"/>
        <w:ind w:firstLine="567"/>
        <w:rPr>
          <w:lang w:val="en-US"/>
        </w:rPr>
      </w:pPr>
      <w:r w:rsidRPr="009C02B5">
        <w:rPr>
          <w:i/>
          <w:iCs/>
          <w:lang w:val="en-US"/>
        </w:rPr>
        <w:t>PP</w:t>
      </w:r>
      <w:r w:rsidR="00BD4BCE" w:rsidRPr="009C02B5">
        <w:rPr>
          <w:i/>
          <w:iCs/>
          <w:lang w:val="en-US"/>
        </w:rPr>
        <w:t>4</w:t>
      </w:r>
      <w:r w:rsidRPr="009C02B5">
        <w:rPr>
          <w:i/>
          <w:iCs/>
          <w:lang w:val="en-US"/>
        </w:rPr>
        <w:t xml:space="preserve"> </w:t>
      </w:r>
      <w:r w:rsidR="005C1D6D" w:rsidRPr="009C02B5">
        <w:rPr>
          <w:i/>
          <w:iCs/>
          <w:lang w:val="en-US"/>
        </w:rPr>
        <w:t xml:space="preserve">Reaffirming </w:t>
      </w:r>
      <w:r w:rsidR="005C1D6D" w:rsidRPr="009C02B5">
        <w:rPr>
          <w:lang w:val="en-US"/>
        </w:rPr>
        <w:t xml:space="preserve">all of its previous resolutions on the rights of persons with disabilities, the most recent of which was resolution </w:t>
      </w:r>
      <w:r w:rsidR="00E556A8" w:rsidRPr="009C02B5">
        <w:rPr>
          <w:lang w:val="en-US"/>
        </w:rPr>
        <w:t>55/8</w:t>
      </w:r>
      <w:r w:rsidR="005C1D6D" w:rsidRPr="009C02B5">
        <w:rPr>
          <w:lang w:val="en-US"/>
        </w:rPr>
        <w:t xml:space="preserve"> of </w:t>
      </w:r>
      <w:r w:rsidR="0012025C" w:rsidRPr="009C02B5">
        <w:rPr>
          <w:lang w:val="en-US"/>
        </w:rPr>
        <w:t>3 April 2024</w:t>
      </w:r>
      <w:r w:rsidR="005C1D6D" w:rsidRPr="009C02B5">
        <w:rPr>
          <w:lang w:val="en-US"/>
        </w:rPr>
        <w:t xml:space="preserve"> on </w:t>
      </w:r>
      <w:r w:rsidR="0012025C" w:rsidRPr="009C02B5">
        <w:rPr>
          <w:bCs/>
          <w:lang w:val="en-US"/>
        </w:rPr>
        <w:t>support systems to ensure community inclusion of persons with disabilities</w:t>
      </w:r>
      <w:r w:rsidR="005C1D6D" w:rsidRPr="009C02B5">
        <w:rPr>
          <w:lang w:val="en-US"/>
        </w:rPr>
        <w:t>, and welcoming the efforts of all stakeholders to implement those resolutions,</w:t>
      </w:r>
    </w:p>
    <w:p w14:paraId="778CD780" w14:textId="0F62B964" w:rsidR="005C1D6D" w:rsidRPr="009C02B5" w:rsidRDefault="00AB4880" w:rsidP="00FE2DBD">
      <w:pPr>
        <w:pStyle w:val="SingleTxtG"/>
        <w:spacing w:line="236" w:lineRule="atLeast"/>
        <w:rPr>
          <w:lang w:val="en-US"/>
        </w:rPr>
      </w:pPr>
      <w:r w:rsidRPr="009C02B5">
        <w:rPr>
          <w:i/>
          <w:iCs/>
          <w:lang w:val="en-US"/>
        </w:rPr>
        <w:tab/>
      </w:r>
      <w:r w:rsidRPr="009C02B5">
        <w:rPr>
          <w:i/>
          <w:iCs/>
          <w:lang w:val="en-US"/>
        </w:rPr>
        <w:tab/>
      </w:r>
      <w:r w:rsidR="00B11503" w:rsidRPr="009C02B5">
        <w:rPr>
          <w:i/>
          <w:iCs/>
          <w:lang w:val="en-US"/>
        </w:rPr>
        <w:t>PP</w:t>
      </w:r>
      <w:r w:rsidR="00BD4BCE" w:rsidRPr="009C02B5">
        <w:rPr>
          <w:i/>
          <w:iCs/>
          <w:lang w:val="en-US"/>
        </w:rPr>
        <w:t>5</w:t>
      </w:r>
      <w:r w:rsidR="00B11503" w:rsidRPr="009C02B5">
        <w:rPr>
          <w:i/>
          <w:iCs/>
          <w:lang w:val="en-US"/>
        </w:rPr>
        <w:t xml:space="preserve"> </w:t>
      </w:r>
      <w:r w:rsidR="005C1D6D" w:rsidRPr="009C02B5">
        <w:rPr>
          <w:i/>
          <w:iCs/>
          <w:lang w:val="en-US"/>
        </w:rPr>
        <w:t xml:space="preserve">Recalling </w:t>
      </w:r>
      <w:r w:rsidR="001B7407" w:rsidRPr="009C02B5">
        <w:rPr>
          <w:lang w:val="en-US"/>
        </w:rPr>
        <w:t xml:space="preserve">its </w:t>
      </w:r>
      <w:r w:rsidR="005C1D6D" w:rsidRPr="009C02B5">
        <w:rPr>
          <w:iCs/>
          <w:lang w:val="en-US"/>
        </w:rPr>
        <w:t xml:space="preserve">resolution 54/6 </w:t>
      </w:r>
      <w:r w:rsidR="001B7407" w:rsidRPr="009C02B5">
        <w:rPr>
          <w:iCs/>
          <w:lang w:val="en-US"/>
        </w:rPr>
        <w:t xml:space="preserve">of 11 October 2023 </w:t>
      </w:r>
      <w:r w:rsidR="005C1D6D" w:rsidRPr="009C02B5">
        <w:rPr>
          <w:iCs/>
          <w:lang w:val="en-US"/>
        </w:rPr>
        <w:t>on the centrality of care and support from a human rights perspective</w:t>
      </w:r>
      <w:r w:rsidR="006B6779" w:rsidRPr="009C02B5">
        <w:rPr>
          <w:iCs/>
          <w:lang w:val="en-US"/>
        </w:rPr>
        <w:t>, and resolution 55/11 o</w:t>
      </w:r>
      <w:r w:rsidR="00CA497D" w:rsidRPr="009C02B5">
        <w:rPr>
          <w:iCs/>
          <w:lang w:val="en-US"/>
        </w:rPr>
        <w:t>f</w:t>
      </w:r>
      <w:r w:rsidR="006B6779" w:rsidRPr="009C02B5">
        <w:rPr>
          <w:iCs/>
          <w:lang w:val="en-US"/>
        </w:rPr>
        <w:t xml:space="preserve"> 3 April 2024 on </w:t>
      </w:r>
      <w:r w:rsidR="00CA497D" w:rsidRPr="009C02B5">
        <w:rPr>
          <w:iCs/>
          <w:lang w:val="en-US"/>
        </w:rPr>
        <w:t>a</w:t>
      </w:r>
      <w:r w:rsidR="006B6779" w:rsidRPr="009C02B5">
        <w:rPr>
          <w:iCs/>
          <w:lang w:val="en-US"/>
        </w:rPr>
        <w:t>dequate housing as a component of the right to an adequate standard of living, and the right to non-discrimination in this context</w:t>
      </w:r>
      <w:r w:rsidR="005C1D6D" w:rsidRPr="009C02B5">
        <w:rPr>
          <w:iCs/>
          <w:lang w:val="en-US"/>
        </w:rPr>
        <w:t>,</w:t>
      </w:r>
    </w:p>
    <w:p w14:paraId="713430C0" w14:textId="2970FF4C" w:rsidR="005C1D6D" w:rsidRPr="009C02B5" w:rsidRDefault="00AB4880" w:rsidP="00FE2DBD">
      <w:pPr>
        <w:pStyle w:val="SingleTxtG"/>
        <w:spacing w:line="236" w:lineRule="atLeast"/>
        <w:rPr>
          <w:lang w:val="en-US"/>
        </w:rPr>
      </w:pPr>
      <w:r w:rsidRPr="009C02B5">
        <w:rPr>
          <w:i/>
          <w:lang w:val="en-US"/>
        </w:rPr>
        <w:tab/>
      </w:r>
      <w:r w:rsidRPr="009C02B5">
        <w:rPr>
          <w:i/>
          <w:lang w:val="en-US"/>
        </w:rPr>
        <w:tab/>
      </w:r>
      <w:r w:rsidR="00B11503" w:rsidRPr="009C02B5">
        <w:rPr>
          <w:i/>
          <w:lang w:val="en-US"/>
        </w:rPr>
        <w:t>PP</w:t>
      </w:r>
      <w:r w:rsidR="00BD4BCE" w:rsidRPr="009C02B5">
        <w:rPr>
          <w:i/>
          <w:lang w:val="en-US"/>
        </w:rPr>
        <w:t>6</w:t>
      </w:r>
      <w:r w:rsidR="00B11503" w:rsidRPr="009C02B5">
        <w:rPr>
          <w:i/>
          <w:lang w:val="en-US"/>
        </w:rPr>
        <w:t xml:space="preserve"> </w:t>
      </w:r>
      <w:r w:rsidR="005C1D6D" w:rsidRPr="009C02B5">
        <w:rPr>
          <w:i/>
          <w:lang w:val="en-US"/>
        </w:rPr>
        <w:t>Recalling</w:t>
      </w:r>
      <w:r w:rsidR="001B7407" w:rsidRPr="009C02B5">
        <w:rPr>
          <w:i/>
          <w:lang w:val="en-US"/>
        </w:rPr>
        <w:t xml:space="preserve"> also</w:t>
      </w:r>
      <w:r w:rsidR="005C1D6D" w:rsidRPr="009C02B5">
        <w:rPr>
          <w:lang w:val="en-US"/>
        </w:rPr>
        <w:t xml:space="preserve"> General Assembly resolution </w:t>
      </w:r>
      <w:r w:rsidR="002D5744" w:rsidRPr="009C02B5">
        <w:rPr>
          <w:lang w:val="en-US"/>
        </w:rPr>
        <w:t>80/197</w:t>
      </w:r>
      <w:r w:rsidR="005C1D6D" w:rsidRPr="009C02B5">
        <w:rPr>
          <w:lang w:val="en-US"/>
        </w:rPr>
        <w:t xml:space="preserve"> of 1</w:t>
      </w:r>
      <w:r w:rsidR="000C04D7" w:rsidRPr="009C02B5">
        <w:rPr>
          <w:lang w:val="en-US"/>
        </w:rPr>
        <w:t>7</w:t>
      </w:r>
      <w:r w:rsidR="005C1D6D" w:rsidRPr="009C02B5">
        <w:rPr>
          <w:lang w:val="en-US"/>
        </w:rPr>
        <w:t xml:space="preserve"> December 202</w:t>
      </w:r>
      <w:r w:rsidR="000C04D7" w:rsidRPr="009C02B5">
        <w:rPr>
          <w:lang w:val="en-US"/>
        </w:rPr>
        <w:t>5</w:t>
      </w:r>
      <w:r w:rsidR="005C1D6D" w:rsidRPr="009C02B5">
        <w:rPr>
          <w:lang w:val="en-US"/>
        </w:rPr>
        <w:t xml:space="preserve"> entitled “Implementation of the Convention on the Rights of Persons with Disabilities and the Optional Protocol thereto: </w:t>
      </w:r>
      <w:r w:rsidR="00F546FF" w:rsidRPr="009C02B5">
        <w:rPr>
          <w:lang w:val="en-US"/>
        </w:rPr>
        <w:t>amplified barriers in diverse contexts</w:t>
      </w:r>
      <w:r w:rsidR="005C1D6D" w:rsidRPr="009C02B5">
        <w:rPr>
          <w:lang w:val="en-US"/>
        </w:rPr>
        <w:t>”,</w:t>
      </w:r>
    </w:p>
    <w:p w14:paraId="01F55F70" w14:textId="0801ADC5" w:rsidR="00D14CDD" w:rsidRPr="009C02B5" w:rsidRDefault="00D14CDD" w:rsidP="00FE2DBD">
      <w:pPr>
        <w:pStyle w:val="SingleTxtG"/>
        <w:spacing w:line="236" w:lineRule="atLeast"/>
        <w:rPr>
          <w:lang w:val="en-US"/>
        </w:rPr>
      </w:pPr>
      <w:r w:rsidRPr="009C02B5">
        <w:rPr>
          <w:i/>
          <w:lang w:val="en-US"/>
        </w:rPr>
        <w:tab/>
      </w:r>
      <w:r w:rsidRPr="009C02B5">
        <w:rPr>
          <w:i/>
          <w:lang w:val="en-US"/>
        </w:rPr>
        <w:tab/>
      </w:r>
      <w:r w:rsidR="00C779EC" w:rsidRPr="009C02B5">
        <w:rPr>
          <w:i/>
          <w:lang w:val="en-US"/>
        </w:rPr>
        <w:t>PP</w:t>
      </w:r>
      <w:r w:rsidR="00EE5EB7" w:rsidRPr="009C02B5">
        <w:rPr>
          <w:i/>
          <w:lang w:val="en-US"/>
        </w:rPr>
        <w:t>7</w:t>
      </w:r>
      <w:r w:rsidR="00073AC7" w:rsidRPr="009C02B5">
        <w:rPr>
          <w:i/>
          <w:lang w:val="en-US"/>
        </w:rPr>
        <w:t xml:space="preserve"> Welcoming </w:t>
      </w:r>
      <w:r w:rsidR="00073AC7" w:rsidRPr="009C02B5">
        <w:rPr>
          <w:iCs/>
          <w:lang w:val="en-US"/>
        </w:rPr>
        <w:t>th</w:t>
      </w:r>
      <w:r w:rsidR="00C779EC" w:rsidRPr="009C02B5">
        <w:rPr>
          <w:iCs/>
          <w:lang w:val="en-US"/>
        </w:rPr>
        <w:t>e 20</w:t>
      </w:r>
      <w:r w:rsidR="00C779EC" w:rsidRPr="009C02B5">
        <w:rPr>
          <w:iCs/>
          <w:vertAlign w:val="superscript"/>
          <w:lang w:val="en-US"/>
        </w:rPr>
        <w:t>th</w:t>
      </w:r>
      <w:r w:rsidR="00C779EC" w:rsidRPr="009C02B5">
        <w:rPr>
          <w:iCs/>
          <w:lang w:val="en-US"/>
        </w:rPr>
        <w:t xml:space="preserve"> anniversary of </w:t>
      </w:r>
      <w:r w:rsidR="000F6FDC" w:rsidRPr="009C02B5">
        <w:rPr>
          <w:lang w:val="en-US"/>
        </w:rPr>
        <w:t>the adoption in 2006 of the Convention on the Rights of Persons with Disabilities,</w:t>
      </w:r>
    </w:p>
    <w:p w14:paraId="2B00F30B" w14:textId="77777777" w:rsidR="0045235E" w:rsidRPr="009C02B5" w:rsidRDefault="0045235E" w:rsidP="00FE2DBD">
      <w:pPr>
        <w:pStyle w:val="SingleTxtG"/>
        <w:spacing w:line="236" w:lineRule="atLeast"/>
        <w:rPr>
          <w:lang w:val="en-US"/>
        </w:rPr>
      </w:pPr>
    </w:p>
    <w:p w14:paraId="223E3CC0" w14:textId="6B6D9B6F" w:rsidR="0045235E" w:rsidRPr="009C02B5" w:rsidRDefault="0045235E" w:rsidP="00FE2DBD">
      <w:pPr>
        <w:pStyle w:val="SingleTxtG"/>
        <w:spacing w:line="236" w:lineRule="atLeast"/>
        <w:rPr>
          <w:lang w:val="en-US"/>
        </w:rPr>
      </w:pPr>
      <w:r w:rsidRPr="009C02B5">
        <w:rPr>
          <w:lang w:val="en-US"/>
        </w:rPr>
        <w:tab/>
      </w:r>
      <w:r w:rsidRPr="009C02B5">
        <w:rPr>
          <w:lang w:val="en-US"/>
        </w:rPr>
        <w:tab/>
      </w:r>
      <w:r w:rsidR="00D73E2D" w:rsidRPr="009C02B5">
        <w:rPr>
          <w:i/>
          <w:iCs/>
          <w:lang w:val="en-US"/>
        </w:rPr>
        <w:t>PP8</w:t>
      </w:r>
      <w:r w:rsidR="00D73E2D" w:rsidRPr="009C02B5">
        <w:rPr>
          <w:lang w:val="en-US"/>
        </w:rPr>
        <w:t xml:space="preserve"> </w:t>
      </w:r>
      <w:r w:rsidR="00245566" w:rsidRPr="009C02B5">
        <w:rPr>
          <w:i/>
          <w:lang w:val="en-US"/>
        </w:rPr>
        <w:t>Noting</w:t>
      </w:r>
      <w:r w:rsidR="00D73E2D" w:rsidRPr="009C02B5">
        <w:rPr>
          <w:lang w:val="en-US"/>
        </w:rPr>
        <w:t xml:space="preserve"> the adoption of the Amman-Berlin Declaration on </w:t>
      </w:r>
      <w:r w:rsidR="000A2C14" w:rsidRPr="009C02B5">
        <w:rPr>
          <w:lang w:val="en-US"/>
        </w:rPr>
        <w:t xml:space="preserve">Global Disability Inclusion “Our Vision for </w:t>
      </w:r>
      <w:r w:rsidR="003F08C4" w:rsidRPr="009C02B5">
        <w:rPr>
          <w:lang w:val="en-US"/>
        </w:rPr>
        <w:t xml:space="preserve">an Inclusive World”, adopted </w:t>
      </w:r>
      <w:r w:rsidR="005901EF" w:rsidRPr="009C02B5">
        <w:rPr>
          <w:lang w:val="en-US"/>
        </w:rPr>
        <w:t>at the Third Global Disability Summit 2025 in Berlin,</w:t>
      </w:r>
    </w:p>
    <w:p w14:paraId="7A3F1B46" w14:textId="32494F3F" w:rsidR="005C1D6D" w:rsidRPr="009C02B5" w:rsidRDefault="00AB4880" w:rsidP="00FE2DBD">
      <w:pPr>
        <w:pStyle w:val="SingleTxtG"/>
        <w:spacing w:line="236" w:lineRule="atLeast"/>
        <w:rPr>
          <w:lang w:val="en-US"/>
        </w:rPr>
      </w:pPr>
      <w:r w:rsidRPr="009C02B5">
        <w:rPr>
          <w:i/>
          <w:iCs/>
          <w:lang w:val="en-US"/>
        </w:rPr>
        <w:tab/>
      </w:r>
      <w:r w:rsidRPr="009C02B5">
        <w:rPr>
          <w:i/>
          <w:iCs/>
          <w:lang w:val="en-US"/>
        </w:rPr>
        <w:tab/>
      </w:r>
      <w:r w:rsidR="00B11503" w:rsidRPr="009C02B5">
        <w:rPr>
          <w:i/>
          <w:iCs/>
          <w:lang w:val="en-US"/>
        </w:rPr>
        <w:t>PP</w:t>
      </w:r>
      <w:r w:rsidR="007734DA" w:rsidRPr="009C02B5">
        <w:rPr>
          <w:i/>
          <w:iCs/>
          <w:lang w:val="en-US"/>
        </w:rPr>
        <w:t>9</w:t>
      </w:r>
      <w:r w:rsidR="00B11503" w:rsidRPr="009C02B5">
        <w:rPr>
          <w:i/>
          <w:iCs/>
          <w:lang w:val="en-US"/>
        </w:rPr>
        <w:t xml:space="preserve"> </w:t>
      </w:r>
      <w:r w:rsidR="005C1D6D" w:rsidRPr="009C02B5">
        <w:rPr>
          <w:i/>
          <w:iCs/>
          <w:lang w:val="en-US"/>
        </w:rPr>
        <w:t xml:space="preserve">Reaffirming </w:t>
      </w:r>
      <w:r w:rsidR="005C1D6D" w:rsidRPr="009C02B5">
        <w:rPr>
          <w:iCs/>
          <w:lang w:val="en-US"/>
        </w:rPr>
        <w:t>that disability is a social construct and that impairments must not be taken as a legitimate ground for denial or restriction of human rights,</w:t>
      </w:r>
    </w:p>
    <w:p w14:paraId="6206516D" w14:textId="7868B8E6" w:rsidR="005C1D6D" w:rsidRPr="009C02B5" w:rsidRDefault="00AB4880" w:rsidP="00FE2DBD">
      <w:pPr>
        <w:pStyle w:val="SingleTxtG"/>
        <w:spacing w:line="236" w:lineRule="atLeast"/>
        <w:rPr>
          <w:lang w:val="en-US"/>
        </w:rPr>
      </w:pPr>
      <w:r w:rsidRPr="009C02B5">
        <w:rPr>
          <w:i/>
          <w:iCs/>
          <w:lang w:val="en-US"/>
        </w:rPr>
        <w:tab/>
      </w:r>
      <w:r w:rsidRPr="009C02B5">
        <w:rPr>
          <w:i/>
          <w:iCs/>
          <w:lang w:val="en-US"/>
        </w:rPr>
        <w:tab/>
      </w:r>
      <w:r w:rsidR="00B11503" w:rsidRPr="009C02B5">
        <w:rPr>
          <w:i/>
          <w:iCs/>
          <w:lang w:val="en-US"/>
        </w:rPr>
        <w:t>PP</w:t>
      </w:r>
      <w:r w:rsidR="007734DA" w:rsidRPr="009C02B5">
        <w:rPr>
          <w:i/>
          <w:iCs/>
          <w:lang w:val="en-US"/>
        </w:rPr>
        <w:t>10</w:t>
      </w:r>
      <w:r w:rsidR="00B11503" w:rsidRPr="009C02B5">
        <w:rPr>
          <w:i/>
          <w:iCs/>
          <w:lang w:val="en-US"/>
        </w:rPr>
        <w:t xml:space="preserve"> </w:t>
      </w:r>
      <w:r w:rsidR="005C1D6D" w:rsidRPr="009C02B5">
        <w:rPr>
          <w:i/>
          <w:iCs/>
          <w:lang w:val="en-US"/>
        </w:rPr>
        <w:t xml:space="preserve">Reaffirming also </w:t>
      </w:r>
      <w:r w:rsidR="005C1D6D" w:rsidRPr="009C02B5">
        <w:rPr>
          <w:lang w:val="en-US"/>
        </w:rPr>
        <w:t xml:space="preserve">that discrimination against any person on the basis of disability is a violation of the inherent dignity and worth of the human person, while </w:t>
      </w:r>
      <w:r w:rsidR="005C1D6D" w:rsidRPr="009C02B5">
        <w:rPr>
          <w:iCs/>
          <w:lang w:val="en-US"/>
        </w:rPr>
        <w:t>reaffirming further</w:t>
      </w:r>
      <w:r w:rsidR="005C1D6D" w:rsidRPr="009C02B5">
        <w:rPr>
          <w:i/>
          <w:iCs/>
          <w:lang w:val="en-US"/>
        </w:rPr>
        <w:t xml:space="preserve"> </w:t>
      </w:r>
      <w:r w:rsidR="005C1D6D" w:rsidRPr="009C02B5">
        <w:rPr>
          <w:iCs/>
          <w:lang w:val="en-US"/>
        </w:rPr>
        <w:t>that the adoption of specific measures, including reasonable accommodations, that are necessary to accelerate or achieve de facto equality of persons with disabilities shall not be considered discrimination,</w:t>
      </w:r>
    </w:p>
    <w:p w14:paraId="276EAC53" w14:textId="30DA9525" w:rsidR="005C1D6D" w:rsidRPr="009C02B5" w:rsidRDefault="00AB4880" w:rsidP="00FE2DBD">
      <w:pPr>
        <w:pStyle w:val="SingleTxtG"/>
        <w:spacing w:line="236" w:lineRule="atLeast"/>
        <w:rPr>
          <w:iCs/>
          <w:lang w:val="en-US"/>
        </w:rPr>
      </w:pPr>
      <w:r w:rsidRPr="009C02B5">
        <w:rPr>
          <w:i/>
          <w:iCs/>
          <w:lang w:val="en-US"/>
        </w:rPr>
        <w:tab/>
      </w:r>
      <w:r w:rsidRPr="009C02B5">
        <w:rPr>
          <w:i/>
          <w:iCs/>
          <w:lang w:val="en-US"/>
        </w:rPr>
        <w:tab/>
      </w:r>
    </w:p>
    <w:p w14:paraId="5BD5AAF1" w14:textId="69F424A1" w:rsidR="005C1D6D" w:rsidRPr="009C02B5" w:rsidRDefault="00AB4880" w:rsidP="00FE2DBD">
      <w:pPr>
        <w:pStyle w:val="SingleTxtG"/>
        <w:spacing w:line="236" w:lineRule="atLeast"/>
        <w:rPr>
          <w:i/>
          <w:iCs/>
          <w:lang w:val="en-US"/>
        </w:rPr>
      </w:pPr>
      <w:r w:rsidRPr="009C02B5">
        <w:rPr>
          <w:i/>
          <w:iCs/>
          <w:lang w:val="en-US"/>
        </w:rPr>
        <w:tab/>
      </w:r>
      <w:r w:rsidRPr="009C02B5">
        <w:rPr>
          <w:i/>
          <w:iCs/>
          <w:lang w:val="en-US"/>
        </w:rPr>
        <w:tab/>
      </w:r>
      <w:r w:rsidR="008845E5" w:rsidRPr="009C02B5">
        <w:rPr>
          <w:i/>
          <w:iCs/>
          <w:lang w:val="en-US"/>
        </w:rPr>
        <w:t>PP</w:t>
      </w:r>
      <w:r w:rsidR="007403AE" w:rsidRPr="009C02B5">
        <w:rPr>
          <w:i/>
          <w:iCs/>
          <w:lang w:val="en-US"/>
        </w:rPr>
        <w:t>1</w:t>
      </w:r>
      <w:r w:rsidR="007734DA" w:rsidRPr="009C02B5">
        <w:rPr>
          <w:i/>
          <w:iCs/>
          <w:lang w:val="en-US"/>
        </w:rPr>
        <w:t>1</w:t>
      </w:r>
      <w:r w:rsidR="008845E5" w:rsidRPr="009C02B5">
        <w:rPr>
          <w:i/>
          <w:iCs/>
          <w:lang w:val="en-US"/>
        </w:rPr>
        <w:t xml:space="preserve"> </w:t>
      </w:r>
      <w:r w:rsidR="005C1D6D" w:rsidRPr="009C02B5">
        <w:rPr>
          <w:i/>
          <w:iCs/>
          <w:lang w:val="en-US"/>
        </w:rPr>
        <w:t>Expressing concern</w:t>
      </w:r>
      <w:r w:rsidR="00B96A03" w:rsidRPr="009C02B5">
        <w:rPr>
          <w:i/>
          <w:iCs/>
          <w:lang w:val="en-US"/>
        </w:rPr>
        <w:t xml:space="preserve"> </w:t>
      </w:r>
      <w:r w:rsidR="005C1D6D" w:rsidRPr="009C02B5">
        <w:rPr>
          <w:iCs/>
          <w:lang w:val="en-US"/>
        </w:rPr>
        <w:t xml:space="preserve">at the </w:t>
      </w:r>
      <w:r w:rsidR="00DE500F" w:rsidRPr="009C02B5">
        <w:rPr>
          <w:iCs/>
          <w:lang w:val="en-US"/>
        </w:rPr>
        <w:t xml:space="preserve">disproportionate </w:t>
      </w:r>
      <w:r w:rsidR="005C1D6D" w:rsidRPr="009C02B5">
        <w:rPr>
          <w:iCs/>
          <w:lang w:val="en-US"/>
        </w:rPr>
        <w:t xml:space="preserve">impact of climate </w:t>
      </w:r>
      <w:r w:rsidR="00FE2892" w:rsidRPr="009C02B5">
        <w:rPr>
          <w:iCs/>
          <w:lang w:val="en-US"/>
        </w:rPr>
        <w:t>change</w:t>
      </w:r>
      <w:r w:rsidR="00FE2892" w:rsidRPr="009C02B5">
        <w:rPr>
          <w:lang w:val="en-US"/>
        </w:rPr>
        <w:t>, as</w:t>
      </w:r>
      <w:r w:rsidR="000E049C" w:rsidRPr="009C02B5">
        <w:rPr>
          <w:lang w:val="en-US"/>
        </w:rPr>
        <w:t xml:space="preserve"> well as </w:t>
      </w:r>
      <w:r w:rsidR="003E01D8" w:rsidRPr="009C02B5">
        <w:rPr>
          <w:iCs/>
          <w:lang w:val="en-US"/>
        </w:rPr>
        <w:t xml:space="preserve">the impact of </w:t>
      </w:r>
      <w:r w:rsidR="000E049C" w:rsidRPr="009C02B5">
        <w:rPr>
          <w:lang w:val="en-US"/>
        </w:rPr>
        <w:t>other crises and armed conflicts</w:t>
      </w:r>
      <w:r w:rsidR="005C1D6D" w:rsidRPr="009C02B5">
        <w:rPr>
          <w:iCs/>
          <w:lang w:val="en-US"/>
        </w:rPr>
        <w:t xml:space="preserve"> on all persons with disabilities and in particular individuals with multiple vulnerability factors, including women and girls with disabilities,</w:t>
      </w:r>
      <w:r w:rsidR="004E3987" w:rsidRPr="009C02B5">
        <w:rPr>
          <w:iCs/>
          <w:lang w:val="en-US"/>
        </w:rPr>
        <w:t xml:space="preserve"> migrants</w:t>
      </w:r>
      <w:r w:rsidR="003409CF" w:rsidRPr="009C02B5">
        <w:rPr>
          <w:iCs/>
          <w:lang w:val="en-US"/>
        </w:rPr>
        <w:t xml:space="preserve"> and refugees,</w:t>
      </w:r>
      <w:r w:rsidR="005C1D6D" w:rsidRPr="009C02B5">
        <w:rPr>
          <w:iCs/>
          <w:lang w:val="en-US"/>
        </w:rPr>
        <w:t xml:space="preserve"> those living in small island developing </w:t>
      </w:r>
      <w:r w:rsidR="00AC459F" w:rsidRPr="009C02B5">
        <w:rPr>
          <w:iCs/>
          <w:lang w:val="en-US"/>
        </w:rPr>
        <w:t>S</w:t>
      </w:r>
      <w:r w:rsidR="005C1D6D" w:rsidRPr="009C02B5">
        <w:rPr>
          <w:iCs/>
          <w:lang w:val="en-US"/>
        </w:rPr>
        <w:t xml:space="preserve">tates and </w:t>
      </w:r>
      <w:r w:rsidR="00AC459F" w:rsidRPr="009C02B5">
        <w:rPr>
          <w:iCs/>
          <w:lang w:val="en-US"/>
        </w:rPr>
        <w:t xml:space="preserve">those living </w:t>
      </w:r>
      <w:r w:rsidR="005C1D6D" w:rsidRPr="009C02B5">
        <w:rPr>
          <w:iCs/>
          <w:lang w:val="en-US"/>
        </w:rPr>
        <w:t>in contexts of poverty and conflict, and emphasizing the need for States to take and to support adequate measures to address their specific needs and to ensure participation and leadership in disaster response planning for emergency situations and evacuations, humanitarian emergency response and health-care services,</w:t>
      </w:r>
      <w:r w:rsidR="00E07D4D" w:rsidRPr="009C02B5">
        <w:rPr>
          <w:iCs/>
          <w:lang w:val="en-US"/>
        </w:rPr>
        <w:t xml:space="preserve"> </w:t>
      </w:r>
    </w:p>
    <w:p w14:paraId="2F0BC1A2" w14:textId="5DCDBDFB" w:rsidR="005C1D6D" w:rsidRPr="009C02B5" w:rsidRDefault="00AB4880" w:rsidP="00FE2DBD">
      <w:pPr>
        <w:pStyle w:val="SingleTxtG"/>
        <w:spacing w:line="236" w:lineRule="atLeast"/>
        <w:rPr>
          <w:lang w:val="en-US"/>
        </w:rPr>
      </w:pPr>
      <w:r w:rsidRPr="009C02B5">
        <w:rPr>
          <w:i/>
          <w:lang w:val="en-US"/>
        </w:rPr>
        <w:tab/>
      </w:r>
      <w:r w:rsidRPr="009C02B5">
        <w:rPr>
          <w:i/>
          <w:lang w:val="en-US"/>
        </w:rPr>
        <w:tab/>
      </w:r>
      <w:r w:rsidR="008845E5" w:rsidRPr="009C02B5">
        <w:rPr>
          <w:i/>
          <w:lang w:val="en-US"/>
        </w:rPr>
        <w:t>PP</w:t>
      </w:r>
      <w:r w:rsidR="00BD4BCE" w:rsidRPr="009C02B5">
        <w:rPr>
          <w:i/>
          <w:lang w:val="en-US"/>
        </w:rPr>
        <w:t>1</w:t>
      </w:r>
      <w:r w:rsidR="007734DA" w:rsidRPr="009C02B5">
        <w:rPr>
          <w:i/>
          <w:lang w:val="en-US"/>
        </w:rPr>
        <w:t>2</w:t>
      </w:r>
      <w:r w:rsidR="008845E5" w:rsidRPr="009C02B5">
        <w:rPr>
          <w:i/>
          <w:lang w:val="en-US"/>
        </w:rPr>
        <w:t xml:space="preserve"> </w:t>
      </w:r>
      <w:r w:rsidR="005C1D6D" w:rsidRPr="009C02B5">
        <w:rPr>
          <w:i/>
          <w:lang w:val="en-US"/>
        </w:rPr>
        <w:t xml:space="preserve">Reaffirming </w:t>
      </w:r>
      <w:r w:rsidR="005C1D6D" w:rsidRPr="009C02B5">
        <w:rPr>
          <w:lang w:val="en-US"/>
        </w:rPr>
        <w:t>the need to mainstream gender and age perspective</w:t>
      </w:r>
      <w:r w:rsidR="00AC459F" w:rsidRPr="009C02B5">
        <w:rPr>
          <w:lang w:val="en-US"/>
        </w:rPr>
        <w:t>s</w:t>
      </w:r>
      <w:r w:rsidR="005C1D6D" w:rsidRPr="009C02B5">
        <w:rPr>
          <w:lang w:val="en-US"/>
        </w:rPr>
        <w:t xml:space="preserve"> and to take disability-inclusive</w:t>
      </w:r>
      <w:r w:rsidR="005C1D6D" w:rsidRPr="009C02B5" w:rsidDel="0016773B">
        <w:rPr>
          <w:lang w:val="en-US"/>
        </w:rPr>
        <w:t xml:space="preserve"> </w:t>
      </w:r>
      <w:r w:rsidR="005C1D6D" w:rsidRPr="009C02B5">
        <w:rPr>
          <w:lang w:val="en-US"/>
        </w:rPr>
        <w:t>measures to address multiple, aggravated and intersecting forms of discrimination, including ableism and ageism, in all efforts to promote gender equality and the full and equal enjoyment of all human rights and fundamental freedoms by persons with disabilities,</w:t>
      </w:r>
    </w:p>
    <w:p w14:paraId="631E6808" w14:textId="562E1884" w:rsidR="007D7180" w:rsidRPr="009C02B5" w:rsidRDefault="00AB4880" w:rsidP="00FE2DBD">
      <w:pPr>
        <w:pStyle w:val="SingleTxtG"/>
        <w:spacing w:line="236" w:lineRule="atLeast"/>
        <w:rPr>
          <w:lang w:val="en-US"/>
        </w:rPr>
      </w:pPr>
      <w:r w:rsidRPr="009C02B5">
        <w:rPr>
          <w:i/>
          <w:iCs/>
          <w:lang w:val="en-US"/>
        </w:rPr>
        <w:tab/>
      </w:r>
      <w:r w:rsidRPr="009C02B5">
        <w:rPr>
          <w:i/>
          <w:iCs/>
          <w:lang w:val="en-US"/>
        </w:rPr>
        <w:tab/>
      </w:r>
      <w:r w:rsidR="004A28BF" w:rsidRPr="009C02B5">
        <w:rPr>
          <w:i/>
          <w:iCs/>
          <w:lang w:val="en-US"/>
        </w:rPr>
        <w:t>PP1</w:t>
      </w:r>
      <w:r w:rsidR="007734DA" w:rsidRPr="009C02B5">
        <w:rPr>
          <w:i/>
          <w:iCs/>
          <w:lang w:val="en-US"/>
        </w:rPr>
        <w:t>3</w:t>
      </w:r>
      <w:r w:rsidR="004A28BF" w:rsidRPr="009C02B5">
        <w:rPr>
          <w:i/>
          <w:iCs/>
          <w:lang w:val="en-US"/>
        </w:rPr>
        <w:t xml:space="preserve"> </w:t>
      </w:r>
      <w:r w:rsidR="005C1D6D" w:rsidRPr="009C02B5">
        <w:rPr>
          <w:i/>
          <w:iCs/>
          <w:lang w:val="en-US"/>
        </w:rPr>
        <w:t>Recalling</w:t>
      </w:r>
      <w:r w:rsidR="005C1D6D" w:rsidRPr="009C02B5">
        <w:rPr>
          <w:iCs/>
          <w:lang w:val="en-US"/>
        </w:rPr>
        <w:t xml:space="preserve"> the general principles enshrined in the Convention </w:t>
      </w:r>
      <w:r w:rsidR="005C1D6D" w:rsidRPr="009C02B5">
        <w:rPr>
          <w:lang w:val="en-US"/>
        </w:rPr>
        <w:t>on the Rights of Persons with Disabilities</w:t>
      </w:r>
      <w:r w:rsidR="005C1D6D" w:rsidRPr="009C02B5">
        <w:rPr>
          <w:iCs/>
          <w:lang w:val="en-US"/>
        </w:rPr>
        <w:t xml:space="preserve">, </w:t>
      </w:r>
      <w:r w:rsidR="00C75C94" w:rsidRPr="009C02B5">
        <w:rPr>
          <w:iCs/>
          <w:lang w:val="en-US"/>
        </w:rPr>
        <w:t>includi</w:t>
      </w:r>
      <w:r w:rsidR="00893850" w:rsidRPr="009C02B5">
        <w:rPr>
          <w:iCs/>
          <w:lang w:val="en-US"/>
        </w:rPr>
        <w:t>ng respect</w:t>
      </w:r>
      <w:r w:rsidR="00CB615F" w:rsidRPr="009C02B5">
        <w:rPr>
          <w:lang w:val="en-US"/>
        </w:rPr>
        <w:t xml:space="preserve"> for inherent dignity</w:t>
      </w:r>
      <w:r w:rsidR="005C1D6D" w:rsidRPr="009C02B5">
        <w:rPr>
          <w:iCs/>
          <w:lang w:val="en-US"/>
        </w:rPr>
        <w:t xml:space="preserve">, non-discrimination, full and effective participation and inclusion in society, respect for difference and acceptance of persons with disabilities as part of human diversity and humanity, </w:t>
      </w:r>
      <w:r w:rsidR="00B963A4" w:rsidRPr="009C02B5">
        <w:rPr>
          <w:lang w:val="en-US"/>
        </w:rPr>
        <w:t>equality of opportunity, accessibility,</w:t>
      </w:r>
      <w:r w:rsidR="00B963A4" w:rsidRPr="009C02B5">
        <w:rPr>
          <w:iCs/>
          <w:lang w:val="en-US"/>
        </w:rPr>
        <w:t xml:space="preserve"> </w:t>
      </w:r>
      <w:r w:rsidR="005C1D6D" w:rsidRPr="009C02B5">
        <w:rPr>
          <w:iCs/>
          <w:lang w:val="en-US"/>
        </w:rPr>
        <w:t>individual autonomy and independence of persons with disabilities, gender equality and respect for the evolving capacities of children with disabilities,</w:t>
      </w:r>
    </w:p>
    <w:p w14:paraId="15C5705E" w14:textId="42916F42" w:rsidR="005C1D6D" w:rsidRPr="009C02B5" w:rsidRDefault="00AB4880" w:rsidP="00FE2DBD">
      <w:pPr>
        <w:pStyle w:val="SingleTxtG"/>
        <w:spacing w:line="236" w:lineRule="atLeast"/>
        <w:rPr>
          <w:lang w:val="en-US"/>
        </w:rPr>
      </w:pPr>
      <w:r w:rsidRPr="009C02B5">
        <w:rPr>
          <w:i/>
          <w:lang w:val="en-US"/>
        </w:rPr>
        <w:tab/>
      </w:r>
      <w:r w:rsidRPr="009C02B5">
        <w:rPr>
          <w:i/>
          <w:lang w:val="en-US"/>
        </w:rPr>
        <w:tab/>
      </w:r>
      <w:r w:rsidR="004A28BF" w:rsidRPr="009C02B5">
        <w:rPr>
          <w:i/>
          <w:lang w:val="en-US"/>
        </w:rPr>
        <w:t>PP</w:t>
      </w:r>
      <w:r w:rsidR="007403AE" w:rsidRPr="009C02B5">
        <w:rPr>
          <w:i/>
          <w:lang w:val="en-US"/>
        </w:rPr>
        <w:t>1</w:t>
      </w:r>
      <w:r w:rsidR="007734DA" w:rsidRPr="009C02B5">
        <w:rPr>
          <w:i/>
          <w:lang w:val="en-US"/>
        </w:rPr>
        <w:t>4</w:t>
      </w:r>
      <w:r w:rsidR="004A28BF" w:rsidRPr="009C02B5">
        <w:rPr>
          <w:i/>
          <w:lang w:val="en-US"/>
        </w:rPr>
        <w:t xml:space="preserve"> </w:t>
      </w:r>
      <w:r w:rsidR="005C1D6D" w:rsidRPr="009C02B5">
        <w:rPr>
          <w:i/>
          <w:lang w:val="en-US"/>
        </w:rPr>
        <w:t>Recalling also</w:t>
      </w:r>
      <w:r w:rsidR="005C1D6D" w:rsidRPr="009C02B5">
        <w:rPr>
          <w:lang w:val="en-US"/>
        </w:rPr>
        <w:t xml:space="preserve"> that article </w:t>
      </w:r>
      <w:r w:rsidR="009227F6" w:rsidRPr="009C02B5">
        <w:rPr>
          <w:lang w:val="en-US"/>
        </w:rPr>
        <w:t>9</w:t>
      </w:r>
      <w:r w:rsidR="00070F54" w:rsidRPr="009C02B5">
        <w:rPr>
          <w:lang w:val="en-US"/>
        </w:rPr>
        <w:t xml:space="preserve"> </w:t>
      </w:r>
      <w:r w:rsidR="005C1D6D" w:rsidRPr="009C02B5">
        <w:rPr>
          <w:lang w:val="en-US"/>
        </w:rPr>
        <w:t xml:space="preserve">of the Convention on the Rights of Persons with Disabilities </w:t>
      </w:r>
      <w:r w:rsidR="001B5F80" w:rsidRPr="009C02B5">
        <w:rPr>
          <w:lang w:val="en-US"/>
        </w:rPr>
        <w:t>requires</w:t>
      </w:r>
      <w:r w:rsidR="005C1D6D" w:rsidRPr="009C02B5">
        <w:rPr>
          <w:lang w:val="en-US"/>
        </w:rPr>
        <w:t xml:space="preserve"> States parties to </w:t>
      </w:r>
      <w:r w:rsidR="00FB2DA1" w:rsidRPr="009C02B5">
        <w:rPr>
          <w:lang w:val="en-US"/>
        </w:rPr>
        <w:t>ensure access for persons with disabilities,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r w:rsidR="00A0076F" w:rsidRPr="009C02B5">
        <w:rPr>
          <w:lang w:val="en-US"/>
        </w:rPr>
        <w:t xml:space="preserve"> article 19 recognizes the equal right of all persons with disabilities to live in the community, with choices equal to others, and to take effective and appropriate measures to facilitate full enjoyment by persons with disabilities of this right and their full inclusion and participation in the community,</w:t>
      </w:r>
      <w:r w:rsidR="00FB2DA1" w:rsidRPr="009C02B5">
        <w:rPr>
          <w:lang w:val="en-US"/>
        </w:rPr>
        <w:t xml:space="preserve"> and that article 20 </w:t>
      </w:r>
      <w:r w:rsidR="00636416" w:rsidRPr="009C02B5">
        <w:rPr>
          <w:lang w:val="en-US"/>
        </w:rPr>
        <w:t>requi</w:t>
      </w:r>
      <w:r w:rsidR="00304CB5" w:rsidRPr="009C02B5">
        <w:rPr>
          <w:lang w:val="en-US"/>
        </w:rPr>
        <w:t>res</w:t>
      </w:r>
      <w:r w:rsidR="00636416" w:rsidRPr="009C02B5">
        <w:rPr>
          <w:lang w:val="en-US"/>
        </w:rPr>
        <w:t xml:space="preserve"> </w:t>
      </w:r>
      <w:r w:rsidR="00FB2DA1" w:rsidRPr="009C02B5">
        <w:rPr>
          <w:lang w:val="en-US"/>
        </w:rPr>
        <w:t>States parties to take effective measures to ensure personal mobility with the greatest possible independence for persons with disabilities</w:t>
      </w:r>
      <w:r w:rsidR="00BE170A" w:rsidRPr="009C02B5">
        <w:rPr>
          <w:lang w:val="en-US"/>
        </w:rPr>
        <w:t xml:space="preserve">, </w:t>
      </w:r>
    </w:p>
    <w:p w14:paraId="581D4FCC" w14:textId="6F9777DC" w:rsidR="005C1D6D" w:rsidRPr="009C02B5" w:rsidRDefault="00AB4880" w:rsidP="00576D26">
      <w:pPr>
        <w:pStyle w:val="SingleTxtG"/>
        <w:spacing w:line="236" w:lineRule="atLeast"/>
        <w:rPr>
          <w:lang w:val="en-US"/>
        </w:rPr>
      </w:pPr>
      <w:r w:rsidRPr="009C02B5">
        <w:rPr>
          <w:i/>
          <w:iCs/>
          <w:lang w:val="en-US"/>
        </w:rPr>
        <w:tab/>
      </w:r>
      <w:r w:rsidRPr="009C02B5">
        <w:rPr>
          <w:i/>
          <w:iCs/>
          <w:lang w:val="en-US"/>
        </w:rPr>
        <w:tab/>
      </w:r>
      <w:r w:rsidRPr="009C02B5">
        <w:rPr>
          <w:i/>
          <w:lang w:val="en-US"/>
        </w:rPr>
        <w:tab/>
      </w:r>
      <w:r w:rsidRPr="009C02B5">
        <w:rPr>
          <w:i/>
          <w:lang w:val="en-US"/>
        </w:rPr>
        <w:tab/>
      </w:r>
    </w:p>
    <w:p w14:paraId="25DCF817" w14:textId="7CCD5BD6" w:rsidR="00C35B60" w:rsidRPr="009C02B5" w:rsidRDefault="002E7FD5" w:rsidP="00FE2DBD">
      <w:pPr>
        <w:pStyle w:val="SingleTxtG"/>
        <w:spacing w:line="236" w:lineRule="atLeast"/>
        <w:rPr>
          <w:i/>
          <w:lang w:val="en-US"/>
        </w:rPr>
      </w:pPr>
      <w:r w:rsidRPr="009C02B5">
        <w:rPr>
          <w:i/>
          <w:lang w:val="en-US"/>
        </w:rPr>
        <w:tab/>
      </w:r>
      <w:r w:rsidRPr="009C02B5">
        <w:rPr>
          <w:i/>
          <w:lang w:val="en-US"/>
        </w:rPr>
        <w:tab/>
      </w:r>
      <w:r w:rsidR="00980718" w:rsidRPr="009C02B5">
        <w:rPr>
          <w:i/>
          <w:lang w:val="en-US"/>
        </w:rPr>
        <w:t xml:space="preserve">PP14 bis </w:t>
      </w:r>
      <w:r w:rsidR="00513C01" w:rsidRPr="009C02B5">
        <w:rPr>
          <w:iCs/>
          <w:lang w:val="en-US"/>
        </w:rPr>
        <w:t xml:space="preserve">Recognizing that families often play an important role in care and support systems, including by fostering well-being and social inclusion and respecting </w:t>
      </w:r>
      <w:r w:rsidR="00CD7B12" w:rsidRPr="009C02B5">
        <w:rPr>
          <w:iCs/>
          <w:lang w:val="en-US"/>
        </w:rPr>
        <w:t xml:space="preserve">the </w:t>
      </w:r>
      <w:r w:rsidR="00513C01" w:rsidRPr="009C02B5">
        <w:rPr>
          <w:iCs/>
          <w:lang w:val="en-US"/>
        </w:rPr>
        <w:t>autonomy, agency and independence of persons with disabilities, and emphasizing that disability-inclusive infrastructure, including transport and housing</w:t>
      </w:r>
      <w:r w:rsidR="00FD0F52" w:rsidRPr="009C02B5">
        <w:rPr>
          <w:iCs/>
          <w:lang w:val="en-US"/>
        </w:rPr>
        <w:t>,</w:t>
      </w:r>
      <w:r w:rsidR="00513C01" w:rsidRPr="009C02B5">
        <w:rPr>
          <w:iCs/>
          <w:lang w:val="en-US"/>
        </w:rPr>
        <w:t xml:space="preserve"> as well as digital technologies are essential to realizing the right of persons with disabilities to an adequate standard of living for themselves and their families, in accordance with Article 28 of the Convention on the Rights of Persons with Disabilities</w:t>
      </w:r>
      <w:r w:rsidR="00980718" w:rsidRPr="009C02B5">
        <w:rPr>
          <w:iCs/>
          <w:lang w:val="en-US"/>
        </w:rPr>
        <w:t>,</w:t>
      </w:r>
    </w:p>
    <w:p w14:paraId="6CA14395" w14:textId="20DE27E3" w:rsidR="00743702" w:rsidRPr="009C02B5" w:rsidRDefault="00674704" w:rsidP="00831768">
      <w:pPr>
        <w:pStyle w:val="SingleTxtG"/>
        <w:spacing w:line="236" w:lineRule="atLeast"/>
        <w:ind w:firstLine="567"/>
        <w:rPr>
          <w:iCs/>
          <w:lang w:val="en-US"/>
        </w:rPr>
      </w:pPr>
      <w:r w:rsidRPr="009C02B5">
        <w:rPr>
          <w:i/>
          <w:lang w:val="en-US"/>
        </w:rPr>
        <w:t>PP1</w:t>
      </w:r>
      <w:r w:rsidR="007734DA" w:rsidRPr="009C02B5">
        <w:rPr>
          <w:i/>
          <w:lang w:val="en-US"/>
        </w:rPr>
        <w:t>5</w:t>
      </w:r>
      <w:r w:rsidRPr="009C02B5">
        <w:rPr>
          <w:i/>
          <w:lang w:val="en-US"/>
        </w:rPr>
        <w:t xml:space="preserve"> </w:t>
      </w:r>
      <w:r w:rsidR="002E7FD5" w:rsidRPr="009C02B5">
        <w:rPr>
          <w:i/>
          <w:lang w:val="en-US"/>
        </w:rPr>
        <w:t>Noting</w:t>
      </w:r>
      <w:r w:rsidR="002E7FD5" w:rsidRPr="009C02B5">
        <w:rPr>
          <w:iCs/>
          <w:lang w:val="en-US"/>
        </w:rPr>
        <w:t xml:space="preserve"> that persons with disabilities</w:t>
      </w:r>
      <w:r w:rsidR="002E7FD5" w:rsidRPr="009C02B5">
        <w:rPr>
          <w:lang w:val="en-US"/>
        </w:rPr>
        <w:t xml:space="preserve">, especially </w:t>
      </w:r>
      <w:r w:rsidR="00C82BCA" w:rsidRPr="009C02B5">
        <w:rPr>
          <w:lang w:val="en-US"/>
        </w:rPr>
        <w:t xml:space="preserve">women, </w:t>
      </w:r>
      <w:r w:rsidR="002E7FD5" w:rsidRPr="009C02B5">
        <w:rPr>
          <w:lang w:val="en-US"/>
        </w:rPr>
        <w:t>children and older persons,</w:t>
      </w:r>
      <w:r w:rsidR="002E7FD5" w:rsidRPr="009C02B5">
        <w:rPr>
          <w:iCs/>
          <w:lang w:val="en-US"/>
        </w:rPr>
        <w:t xml:space="preserve"> often lack equal access to adequate housing</w:t>
      </w:r>
      <w:r w:rsidR="00717CF9" w:rsidRPr="009C02B5">
        <w:rPr>
          <w:iCs/>
          <w:lang w:val="en-US"/>
        </w:rPr>
        <w:t xml:space="preserve">, </w:t>
      </w:r>
      <w:r w:rsidR="002E7FD5" w:rsidRPr="009C02B5">
        <w:rPr>
          <w:iCs/>
          <w:lang w:val="en-US"/>
        </w:rPr>
        <w:t>infrastructure facilities</w:t>
      </w:r>
      <w:r w:rsidR="00717CF9" w:rsidRPr="009C02B5">
        <w:rPr>
          <w:iCs/>
          <w:lang w:val="en-US"/>
        </w:rPr>
        <w:t>, and digital technologies</w:t>
      </w:r>
      <w:r w:rsidR="002E7FD5" w:rsidRPr="009C02B5">
        <w:rPr>
          <w:iCs/>
          <w:lang w:val="en-US"/>
        </w:rPr>
        <w:t xml:space="preserve"> that are accessible and </w:t>
      </w:r>
      <w:r w:rsidR="0077421E" w:rsidRPr="009C02B5">
        <w:rPr>
          <w:lang w:val="en-US"/>
        </w:rPr>
        <w:t>appro</w:t>
      </w:r>
      <w:r w:rsidR="00195C64" w:rsidRPr="009C02B5">
        <w:rPr>
          <w:lang w:val="en-US"/>
        </w:rPr>
        <w:t>priate</w:t>
      </w:r>
      <w:r w:rsidR="002E7FD5" w:rsidRPr="009C02B5">
        <w:rPr>
          <w:iCs/>
          <w:lang w:val="en-US"/>
        </w:rPr>
        <w:t xml:space="preserve"> to their needs</w:t>
      </w:r>
      <w:r w:rsidR="00E950E9" w:rsidRPr="009C02B5">
        <w:rPr>
          <w:iCs/>
          <w:lang w:val="en-US"/>
        </w:rPr>
        <w:t>, and noting</w:t>
      </w:r>
      <w:r w:rsidR="00743702" w:rsidRPr="009C02B5">
        <w:rPr>
          <w:iCs/>
          <w:lang w:val="en-US"/>
        </w:rPr>
        <w:t xml:space="preserve"> also that</w:t>
      </w:r>
      <w:r w:rsidR="002E7FD5" w:rsidRPr="009C02B5">
        <w:rPr>
          <w:iCs/>
          <w:lang w:val="en-US"/>
        </w:rPr>
        <w:t xml:space="preserve"> </w:t>
      </w:r>
      <w:r w:rsidR="00743702" w:rsidRPr="009C02B5">
        <w:rPr>
          <w:iCs/>
          <w:lang w:val="en-US"/>
        </w:rPr>
        <w:t>t</w:t>
      </w:r>
      <w:r w:rsidR="002E7FD5" w:rsidRPr="009C02B5">
        <w:rPr>
          <w:iCs/>
          <w:lang w:val="en-US"/>
        </w:rPr>
        <w:t>his affects their equal right to live in the</w:t>
      </w:r>
      <w:r w:rsidR="00650FEA" w:rsidRPr="009C02B5">
        <w:rPr>
          <w:iCs/>
          <w:lang w:val="en-US"/>
        </w:rPr>
        <w:t>ir</w:t>
      </w:r>
      <w:r w:rsidR="002E7FD5" w:rsidRPr="009C02B5">
        <w:rPr>
          <w:iCs/>
          <w:lang w:val="en-US"/>
        </w:rPr>
        <w:t xml:space="preserve"> communit</w:t>
      </w:r>
      <w:r w:rsidR="00650FEA" w:rsidRPr="009C02B5">
        <w:rPr>
          <w:iCs/>
          <w:lang w:val="en-US"/>
        </w:rPr>
        <w:t>ies</w:t>
      </w:r>
      <w:r w:rsidR="002E7FD5" w:rsidRPr="009C02B5">
        <w:rPr>
          <w:iCs/>
          <w:lang w:val="en-US"/>
        </w:rPr>
        <w:t xml:space="preserve">, </w:t>
      </w:r>
      <w:r w:rsidR="0091726D" w:rsidRPr="009C02B5">
        <w:rPr>
          <w:iCs/>
          <w:lang w:val="en-US"/>
        </w:rPr>
        <w:t xml:space="preserve">and </w:t>
      </w:r>
      <w:r w:rsidR="002E7FD5" w:rsidRPr="009C02B5">
        <w:rPr>
          <w:iCs/>
          <w:lang w:val="en-US"/>
        </w:rPr>
        <w:t>equal opportunity to live independently</w:t>
      </w:r>
      <w:r w:rsidR="00045EBF" w:rsidRPr="009C02B5">
        <w:rPr>
          <w:iCs/>
          <w:lang w:val="en-US"/>
        </w:rPr>
        <w:t>, to exercise their human rights</w:t>
      </w:r>
      <w:r w:rsidR="002E7FD5" w:rsidRPr="009C02B5">
        <w:rPr>
          <w:iCs/>
          <w:lang w:val="en-US"/>
        </w:rPr>
        <w:t xml:space="preserve"> and to participate fully in all aspects of life</w:t>
      </w:r>
      <w:r w:rsidR="00743702" w:rsidRPr="009C02B5">
        <w:rPr>
          <w:iCs/>
          <w:lang w:val="en-US"/>
        </w:rPr>
        <w:t>,</w:t>
      </w:r>
    </w:p>
    <w:p w14:paraId="1709C740" w14:textId="05ACF7C6" w:rsidR="002E7FD5" w:rsidRPr="009C02B5" w:rsidRDefault="00674704">
      <w:pPr>
        <w:pStyle w:val="SingleTxtG"/>
        <w:spacing w:line="236" w:lineRule="atLeast"/>
        <w:ind w:firstLine="567"/>
        <w:rPr>
          <w:iCs/>
          <w:lang w:val="en-US"/>
        </w:rPr>
      </w:pPr>
      <w:r w:rsidRPr="009C02B5">
        <w:rPr>
          <w:i/>
          <w:lang w:val="en-US"/>
        </w:rPr>
        <w:t>PP1</w:t>
      </w:r>
      <w:r w:rsidR="007734DA" w:rsidRPr="009C02B5">
        <w:rPr>
          <w:i/>
          <w:lang w:val="en-US"/>
        </w:rPr>
        <w:t>6</w:t>
      </w:r>
      <w:r w:rsidRPr="009C02B5">
        <w:rPr>
          <w:i/>
          <w:lang w:val="en-US"/>
        </w:rPr>
        <w:t xml:space="preserve"> </w:t>
      </w:r>
      <w:r w:rsidR="00743702" w:rsidRPr="009C02B5">
        <w:rPr>
          <w:i/>
          <w:lang w:val="en-US"/>
        </w:rPr>
        <w:t>Noting further</w:t>
      </w:r>
      <w:r w:rsidR="00743702" w:rsidRPr="009C02B5">
        <w:rPr>
          <w:iCs/>
          <w:lang w:val="en-US"/>
        </w:rPr>
        <w:t xml:space="preserve"> that t</w:t>
      </w:r>
      <w:r w:rsidR="002E7FD5" w:rsidRPr="009C02B5">
        <w:rPr>
          <w:iCs/>
          <w:lang w:val="en-US"/>
        </w:rPr>
        <w:t>he availability of support services</w:t>
      </w:r>
      <w:r w:rsidR="00CF48F5" w:rsidRPr="009C02B5">
        <w:rPr>
          <w:iCs/>
          <w:lang w:val="en-US"/>
        </w:rPr>
        <w:t xml:space="preserve"> and </w:t>
      </w:r>
      <w:r w:rsidR="002E7FD5" w:rsidRPr="009C02B5">
        <w:rPr>
          <w:iCs/>
          <w:lang w:val="en-US"/>
        </w:rPr>
        <w:t>infrastructure</w:t>
      </w:r>
      <w:r w:rsidR="005C1281" w:rsidRPr="009C02B5">
        <w:rPr>
          <w:iCs/>
          <w:lang w:val="en-US"/>
        </w:rPr>
        <w:t xml:space="preserve"> </w:t>
      </w:r>
      <w:r w:rsidR="002E7FD5" w:rsidRPr="009C02B5">
        <w:rPr>
          <w:iCs/>
          <w:lang w:val="en-US"/>
        </w:rPr>
        <w:t>that fully respect the human rights of persons with disabilities forms part of the right to an adequate standard of living</w:t>
      </w:r>
      <w:r w:rsidR="00EE4921" w:rsidRPr="009C02B5">
        <w:rPr>
          <w:lang w:val="en-US"/>
        </w:rPr>
        <w:t>, including</w:t>
      </w:r>
      <w:r w:rsidR="002E7FD5" w:rsidRPr="009C02B5">
        <w:rPr>
          <w:lang w:val="en-US"/>
        </w:rPr>
        <w:t xml:space="preserve"> adequate housing</w:t>
      </w:r>
      <w:r w:rsidR="00743702" w:rsidRPr="009C02B5">
        <w:rPr>
          <w:iCs/>
          <w:lang w:val="en-US"/>
        </w:rPr>
        <w:t>,</w:t>
      </w:r>
      <w:r w:rsidR="00D71B4A" w:rsidRPr="009C02B5">
        <w:rPr>
          <w:iCs/>
          <w:lang w:val="en-US"/>
        </w:rPr>
        <w:t xml:space="preserve"> </w:t>
      </w:r>
      <w:r w:rsidR="00A97DE2" w:rsidRPr="009C02B5">
        <w:rPr>
          <w:iCs/>
          <w:lang w:val="en-US"/>
        </w:rPr>
        <w:t xml:space="preserve">and </w:t>
      </w:r>
      <w:r w:rsidR="00A97DE2" w:rsidRPr="009C02B5">
        <w:rPr>
          <w:i/>
          <w:lang w:val="en-US"/>
        </w:rPr>
        <w:t>noting also</w:t>
      </w:r>
      <w:r w:rsidR="00A97DE2" w:rsidRPr="009C02B5">
        <w:rPr>
          <w:iCs/>
          <w:lang w:val="en-US"/>
        </w:rPr>
        <w:t xml:space="preserve"> that </w:t>
      </w:r>
      <w:r w:rsidR="00D71B4A" w:rsidRPr="009C02B5">
        <w:rPr>
          <w:iCs/>
          <w:lang w:val="en-US"/>
        </w:rPr>
        <w:t>persons with disabilities</w:t>
      </w:r>
      <w:r w:rsidR="00D71B4A" w:rsidRPr="009C02B5">
        <w:rPr>
          <w:i/>
          <w:lang w:val="en-US"/>
        </w:rPr>
        <w:t xml:space="preserve"> </w:t>
      </w:r>
      <w:r w:rsidR="00E86EAF" w:rsidRPr="009C02B5">
        <w:rPr>
          <w:iCs/>
          <w:lang w:val="en-US"/>
        </w:rPr>
        <w:t xml:space="preserve">living in rural areas </w:t>
      </w:r>
      <w:r w:rsidR="00D71B4A" w:rsidRPr="009C02B5">
        <w:rPr>
          <w:iCs/>
          <w:lang w:val="en-US"/>
        </w:rPr>
        <w:t>often lack access to transport, housing and digital technologies</w:t>
      </w:r>
      <w:r w:rsidR="00A97DE2" w:rsidRPr="009C02B5">
        <w:rPr>
          <w:iCs/>
          <w:lang w:val="en-US"/>
        </w:rPr>
        <w:t>,</w:t>
      </w:r>
    </w:p>
    <w:p w14:paraId="3396FF45" w14:textId="57AA2545" w:rsidR="007952B8" w:rsidRPr="009C02B5" w:rsidRDefault="007952B8">
      <w:pPr>
        <w:pStyle w:val="SingleTxtG"/>
        <w:spacing w:line="236" w:lineRule="atLeast"/>
        <w:ind w:firstLine="567"/>
        <w:rPr>
          <w:iCs/>
          <w:lang w:val="en-US"/>
        </w:rPr>
      </w:pPr>
      <w:r w:rsidRPr="009C02B5">
        <w:rPr>
          <w:i/>
          <w:lang w:val="en-US"/>
        </w:rPr>
        <w:t>PP1</w:t>
      </w:r>
      <w:r w:rsidR="007734DA" w:rsidRPr="009C02B5">
        <w:rPr>
          <w:i/>
          <w:lang w:val="en-US"/>
        </w:rPr>
        <w:t>7</w:t>
      </w:r>
      <w:r w:rsidRPr="009C02B5">
        <w:rPr>
          <w:i/>
          <w:lang w:val="en-US"/>
        </w:rPr>
        <w:t xml:space="preserve"> </w:t>
      </w:r>
      <w:r w:rsidR="00442913" w:rsidRPr="009C02B5">
        <w:rPr>
          <w:i/>
          <w:lang w:val="en-US"/>
        </w:rPr>
        <w:t>Noting also</w:t>
      </w:r>
      <w:r w:rsidRPr="009C02B5">
        <w:rPr>
          <w:iCs/>
          <w:lang w:val="en-US"/>
        </w:rPr>
        <w:t xml:space="preserve"> </w:t>
      </w:r>
      <w:r w:rsidR="00442913" w:rsidRPr="009C02B5">
        <w:rPr>
          <w:iCs/>
          <w:lang w:val="en-US"/>
        </w:rPr>
        <w:t xml:space="preserve">the need to promote universal design </w:t>
      </w:r>
      <w:r w:rsidR="00DF0285" w:rsidRPr="009C02B5">
        <w:rPr>
          <w:iCs/>
          <w:lang w:val="en-US"/>
        </w:rPr>
        <w:t xml:space="preserve">in </w:t>
      </w:r>
      <w:r w:rsidR="00DF0285" w:rsidRPr="009C02B5">
        <w:rPr>
          <w:lang w:val="en-US"/>
        </w:rPr>
        <w:t xml:space="preserve">the development of </w:t>
      </w:r>
      <w:r w:rsidR="0020087E" w:rsidRPr="009C02B5">
        <w:rPr>
          <w:lang w:val="en-US"/>
        </w:rPr>
        <w:t>building standards and guidelines</w:t>
      </w:r>
      <w:r w:rsidR="00F62F5F" w:rsidRPr="009C02B5">
        <w:rPr>
          <w:lang w:val="en-US"/>
        </w:rPr>
        <w:t>, as well as in</w:t>
      </w:r>
      <w:r w:rsidR="00DD7EE3" w:rsidRPr="009C02B5">
        <w:rPr>
          <w:lang w:val="en-US"/>
        </w:rPr>
        <w:t xml:space="preserve"> the design</w:t>
      </w:r>
      <w:r w:rsidR="00532525" w:rsidRPr="009C02B5">
        <w:rPr>
          <w:lang w:val="en-US"/>
        </w:rPr>
        <w:t xml:space="preserve"> of</w:t>
      </w:r>
      <w:r w:rsidR="00F62F5F" w:rsidRPr="009C02B5">
        <w:rPr>
          <w:lang w:val="en-US"/>
        </w:rPr>
        <w:t xml:space="preserve"> digital technologies, products and services, </w:t>
      </w:r>
      <w:r w:rsidR="00442913" w:rsidRPr="009C02B5">
        <w:rPr>
          <w:iCs/>
          <w:lang w:val="en-US"/>
        </w:rPr>
        <w:t xml:space="preserve">and </w:t>
      </w:r>
      <w:r w:rsidR="00846BBB" w:rsidRPr="009C02B5">
        <w:rPr>
          <w:iCs/>
          <w:lang w:val="en-US"/>
        </w:rPr>
        <w:t xml:space="preserve">to </w:t>
      </w:r>
      <w:r w:rsidR="00442913" w:rsidRPr="009C02B5">
        <w:rPr>
          <w:iCs/>
          <w:lang w:val="en-US"/>
        </w:rPr>
        <w:t>develop comprehensive accessibility plans for housing and support services, enabling persons with disabilities to live independently and be included in the community</w:t>
      </w:r>
      <w:r w:rsidR="006F153B" w:rsidRPr="009C02B5">
        <w:rPr>
          <w:iCs/>
          <w:lang w:val="en-US"/>
        </w:rPr>
        <w:t>,</w:t>
      </w:r>
    </w:p>
    <w:p w14:paraId="53378384" w14:textId="715C0AAC" w:rsidR="00F75FE8" w:rsidRPr="009C02B5" w:rsidRDefault="005745CD" w:rsidP="00F75FE8">
      <w:pPr>
        <w:pStyle w:val="SingleTxtG"/>
        <w:spacing w:line="236" w:lineRule="atLeast"/>
        <w:ind w:firstLine="567"/>
        <w:rPr>
          <w:lang w:val="en-US"/>
        </w:rPr>
      </w:pPr>
      <w:r w:rsidRPr="009C02B5">
        <w:rPr>
          <w:i/>
          <w:lang w:val="en-US"/>
        </w:rPr>
        <w:t>PP</w:t>
      </w:r>
      <w:r w:rsidR="00E86EAF" w:rsidRPr="009C02B5">
        <w:rPr>
          <w:i/>
          <w:lang w:val="en-US"/>
        </w:rPr>
        <w:t>1</w:t>
      </w:r>
      <w:r w:rsidR="007734DA" w:rsidRPr="009C02B5">
        <w:rPr>
          <w:i/>
          <w:lang w:val="en-US"/>
        </w:rPr>
        <w:t>8</w:t>
      </w:r>
      <w:r w:rsidRPr="009C02B5">
        <w:rPr>
          <w:i/>
          <w:lang w:val="en-US"/>
        </w:rPr>
        <w:t xml:space="preserve"> Recognizing </w:t>
      </w:r>
      <w:r w:rsidR="0063035E" w:rsidRPr="009C02B5">
        <w:rPr>
          <w:iCs/>
          <w:lang w:val="en-US"/>
        </w:rPr>
        <w:t xml:space="preserve">that digital technologies and assistive devices, housing and transportation are essential </w:t>
      </w:r>
      <w:r w:rsidR="00AB2A14" w:rsidRPr="009C02B5">
        <w:rPr>
          <w:iCs/>
          <w:lang w:val="en-US"/>
        </w:rPr>
        <w:t xml:space="preserve">for </w:t>
      </w:r>
      <w:r w:rsidR="0076771D" w:rsidRPr="009C02B5">
        <w:rPr>
          <w:lang w:val="en-US"/>
        </w:rPr>
        <w:t>all</w:t>
      </w:r>
      <w:r w:rsidR="0076771D" w:rsidRPr="009C02B5">
        <w:rPr>
          <w:iCs/>
          <w:lang w:val="en-US"/>
        </w:rPr>
        <w:t xml:space="preserve"> </w:t>
      </w:r>
      <w:r w:rsidR="00AB2A14" w:rsidRPr="009C02B5">
        <w:rPr>
          <w:iCs/>
          <w:lang w:val="en-US"/>
        </w:rPr>
        <w:t xml:space="preserve">persons with disabilities </w:t>
      </w:r>
      <w:r w:rsidR="0063035E" w:rsidRPr="009C02B5">
        <w:rPr>
          <w:iCs/>
          <w:lang w:val="en-US"/>
        </w:rPr>
        <w:t>to exer</w:t>
      </w:r>
      <w:r w:rsidR="00A86912" w:rsidRPr="009C02B5">
        <w:rPr>
          <w:iCs/>
          <w:lang w:val="en-US"/>
        </w:rPr>
        <w:t>cis</w:t>
      </w:r>
      <w:r w:rsidR="00AB2A14" w:rsidRPr="009C02B5">
        <w:rPr>
          <w:iCs/>
          <w:lang w:val="en-US"/>
        </w:rPr>
        <w:t>e</w:t>
      </w:r>
      <w:r w:rsidR="0063035E" w:rsidRPr="009C02B5">
        <w:rPr>
          <w:iCs/>
          <w:lang w:val="en-US"/>
        </w:rPr>
        <w:t xml:space="preserve"> the</w:t>
      </w:r>
      <w:r w:rsidR="00AB2A14" w:rsidRPr="009C02B5">
        <w:rPr>
          <w:iCs/>
          <w:lang w:val="en-US"/>
        </w:rPr>
        <w:t>ir</w:t>
      </w:r>
      <w:r w:rsidR="0063035E" w:rsidRPr="009C02B5">
        <w:rPr>
          <w:iCs/>
          <w:lang w:val="en-US"/>
        </w:rPr>
        <w:t xml:space="preserve"> right to live independently and to participate fully </w:t>
      </w:r>
      <w:r w:rsidR="003C6596" w:rsidRPr="009C02B5">
        <w:rPr>
          <w:iCs/>
          <w:lang w:val="en-US"/>
        </w:rPr>
        <w:t>in all areas of society, including the political, economic</w:t>
      </w:r>
      <w:r w:rsidR="007D6BD9" w:rsidRPr="009C02B5">
        <w:rPr>
          <w:iCs/>
          <w:lang w:val="en-US"/>
        </w:rPr>
        <w:t>,</w:t>
      </w:r>
      <w:r w:rsidR="003C6596" w:rsidRPr="009C02B5">
        <w:rPr>
          <w:iCs/>
          <w:lang w:val="en-US"/>
        </w:rPr>
        <w:t xml:space="preserve"> social </w:t>
      </w:r>
      <w:r w:rsidR="007D6BD9" w:rsidRPr="009C02B5">
        <w:rPr>
          <w:lang w:val="en-US"/>
        </w:rPr>
        <w:t>and cultural</w:t>
      </w:r>
      <w:r w:rsidR="007D6BD9" w:rsidRPr="009C02B5">
        <w:rPr>
          <w:iCs/>
          <w:lang w:val="en-US"/>
        </w:rPr>
        <w:t xml:space="preserve"> </w:t>
      </w:r>
      <w:r w:rsidR="003C6596" w:rsidRPr="009C02B5">
        <w:rPr>
          <w:iCs/>
          <w:lang w:val="en-US"/>
        </w:rPr>
        <w:t>spheres</w:t>
      </w:r>
      <w:r w:rsidR="00AB2A14" w:rsidRPr="009C02B5">
        <w:rPr>
          <w:iCs/>
          <w:lang w:val="en-US"/>
        </w:rPr>
        <w:t>,</w:t>
      </w:r>
      <w:r w:rsidR="000714CA" w:rsidRPr="009C02B5">
        <w:rPr>
          <w:iCs/>
          <w:lang w:val="en-US"/>
        </w:rPr>
        <w:t xml:space="preserve"> </w:t>
      </w:r>
      <w:r w:rsidR="00D3466E" w:rsidRPr="009C02B5">
        <w:rPr>
          <w:iCs/>
          <w:lang w:val="en-US"/>
        </w:rPr>
        <w:t>and</w:t>
      </w:r>
      <w:r w:rsidR="000714CA" w:rsidRPr="009C02B5">
        <w:rPr>
          <w:iCs/>
          <w:lang w:val="en-US"/>
        </w:rPr>
        <w:t xml:space="preserve"> that </w:t>
      </w:r>
      <w:r w:rsidR="000714CA" w:rsidRPr="009C02B5">
        <w:rPr>
          <w:lang w:val="en-US"/>
        </w:rPr>
        <w:t>access to assistive technologies supports functional independence, enhances communication and facilitates mobility,</w:t>
      </w:r>
    </w:p>
    <w:p w14:paraId="5A89CAAF" w14:textId="7292F60C" w:rsidR="005A13C8" w:rsidRPr="009C02B5" w:rsidRDefault="005A13C8" w:rsidP="00F75FE8">
      <w:pPr>
        <w:pStyle w:val="SingleTxtG"/>
        <w:spacing w:line="236" w:lineRule="atLeast"/>
        <w:ind w:firstLine="567"/>
        <w:rPr>
          <w:iCs/>
          <w:lang w:val="en-US"/>
        </w:rPr>
      </w:pPr>
      <w:r w:rsidRPr="009C02B5">
        <w:rPr>
          <w:i/>
          <w:lang w:val="en-US"/>
        </w:rPr>
        <w:t>PP1</w:t>
      </w:r>
      <w:r w:rsidR="007734DA" w:rsidRPr="009C02B5">
        <w:rPr>
          <w:i/>
          <w:lang w:val="en-US"/>
        </w:rPr>
        <w:t>9</w:t>
      </w:r>
      <w:r w:rsidRPr="009C02B5">
        <w:rPr>
          <w:iCs/>
          <w:lang w:val="en-US"/>
        </w:rPr>
        <w:t xml:space="preserve"> </w:t>
      </w:r>
      <w:r w:rsidRPr="009C02B5">
        <w:rPr>
          <w:i/>
          <w:lang w:val="en-US"/>
        </w:rPr>
        <w:t>Reaffirming</w:t>
      </w:r>
      <w:r w:rsidRPr="009C02B5">
        <w:rPr>
          <w:iCs/>
          <w:lang w:val="en-US"/>
        </w:rPr>
        <w:t xml:space="preserve"> that effective measures to ensure personal mobility with the greatest possible independence </w:t>
      </w:r>
      <w:r w:rsidR="00D92691" w:rsidRPr="009C02B5">
        <w:rPr>
          <w:iCs/>
          <w:lang w:val="en-US"/>
        </w:rPr>
        <w:t>include</w:t>
      </w:r>
      <w:r w:rsidRPr="009C02B5">
        <w:rPr>
          <w:iCs/>
          <w:lang w:val="en-US"/>
        </w:rPr>
        <w:t xml:space="preserve"> facilitating access to quality mobility aids, devices and assistive technologies at affordable cost and providing training in mobility skills for persons with disabilities and specialist staff</w:t>
      </w:r>
      <w:r w:rsidR="00CC58CC" w:rsidRPr="009C02B5">
        <w:rPr>
          <w:iCs/>
          <w:lang w:val="en-US"/>
        </w:rPr>
        <w:t>,</w:t>
      </w:r>
    </w:p>
    <w:p w14:paraId="6A66C545" w14:textId="180016AD" w:rsidR="00F75FE8" w:rsidRPr="009C02B5" w:rsidRDefault="00F75FE8" w:rsidP="00F75FE8">
      <w:pPr>
        <w:pStyle w:val="SingleTxtG"/>
        <w:spacing w:line="236" w:lineRule="atLeast"/>
        <w:ind w:firstLine="567"/>
        <w:rPr>
          <w:lang w:val="en-US"/>
        </w:rPr>
      </w:pPr>
      <w:r w:rsidRPr="009C02B5">
        <w:rPr>
          <w:i/>
          <w:lang w:val="en-US"/>
        </w:rPr>
        <w:t>PP</w:t>
      </w:r>
      <w:r w:rsidR="007734DA" w:rsidRPr="009C02B5">
        <w:rPr>
          <w:i/>
          <w:lang w:val="en-US"/>
        </w:rPr>
        <w:t>20</w:t>
      </w:r>
      <w:r w:rsidRPr="009C02B5">
        <w:rPr>
          <w:i/>
          <w:lang w:val="en-US"/>
        </w:rPr>
        <w:t xml:space="preserve"> Stressing </w:t>
      </w:r>
      <w:r w:rsidR="00465BA7" w:rsidRPr="009C02B5">
        <w:rPr>
          <w:lang w:val="en-US"/>
        </w:rPr>
        <w:t xml:space="preserve">the importance </w:t>
      </w:r>
      <w:r w:rsidR="008B3345" w:rsidRPr="009C02B5">
        <w:rPr>
          <w:lang w:val="en-US"/>
        </w:rPr>
        <w:t>of ensuring</w:t>
      </w:r>
      <w:r w:rsidR="008B3345" w:rsidRPr="009C02B5">
        <w:rPr>
          <w:i/>
          <w:lang w:val="en-US"/>
        </w:rPr>
        <w:t xml:space="preserve"> </w:t>
      </w:r>
      <w:r w:rsidRPr="009C02B5">
        <w:rPr>
          <w:iCs/>
          <w:lang w:val="en-US"/>
        </w:rPr>
        <w:t xml:space="preserve">that </w:t>
      </w:r>
      <w:r w:rsidRPr="009C02B5">
        <w:rPr>
          <w:lang w:val="en-US"/>
        </w:rPr>
        <w:t>the development, use and regulation of digital technologies</w:t>
      </w:r>
      <w:r w:rsidR="00D736B0" w:rsidRPr="009C02B5">
        <w:rPr>
          <w:lang w:val="en-US"/>
        </w:rPr>
        <w:t xml:space="preserve"> is</w:t>
      </w:r>
      <w:r w:rsidRPr="009C02B5">
        <w:rPr>
          <w:lang w:val="en-US"/>
        </w:rPr>
        <w:t xml:space="preserve"> in </w:t>
      </w:r>
      <w:r w:rsidR="00D736B0" w:rsidRPr="009C02B5">
        <w:rPr>
          <w:lang w:val="en-US"/>
        </w:rPr>
        <w:t xml:space="preserve">line with </w:t>
      </w:r>
      <w:r w:rsidRPr="009C02B5">
        <w:rPr>
          <w:lang w:val="en-US"/>
        </w:rPr>
        <w:t xml:space="preserve">the international human rights framework to prevent the exclusion of </w:t>
      </w:r>
      <w:r w:rsidR="003E28AA" w:rsidRPr="009C02B5">
        <w:rPr>
          <w:lang w:val="en-US"/>
        </w:rPr>
        <w:t>persons with disabilities</w:t>
      </w:r>
      <w:r w:rsidR="000D25A6" w:rsidRPr="009C02B5">
        <w:rPr>
          <w:lang w:val="en-US"/>
        </w:rPr>
        <w:t xml:space="preserve"> and </w:t>
      </w:r>
      <w:r w:rsidR="0075240D" w:rsidRPr="009C02B5">
        <w:rPr>
          <w:lang w:val="en-US"/>
        </w:rPr>
        <w:t xml:space="preserve">to mitigate </w:t>
      </w:r>
      <w:r w:rsidR="001336E4" w:rsidRPr="009C02B5">
        <w:rPr>
          <w:lang w:val="en-US"/>
        </w:rPr>
        <w:t xml:space="preserve">the </w:t>
      </w:r>
      <w:r w:rsidR="0075240D" w:rsidRPr="009C02B5">
        <w:rPr>
          <w:lang w:val="en-US"/>
        </w:rPr>
        <w:t xml:space="preserve">adverse impact of such technologies on </w:t>
      </w:r>
      <w:r w:rsidR="00C950C0" w:rsidRPr="009C02B5">
        <w:rPr>
          <w:lang w:val="en-US"/>
        </w:rPr>
        <w:t xml:space="preserve">their </w:t>
      </w:r>
      <w:r w:rsidR="0075240D" w:rsidRPr="009C02B5">
        <w:rPr>
          <w:lang w:val="en-US"/>
        </w:rPr>
        <w:t>human rights,</w:t>
      </w:r>
      <w:r w:rsidR="00365E5F" w:rsidRPr="009C02B5">
        <w:rPr>
          <w:lang w:val="en-US"/>
        </w:rPr>
        <w:t xml:space="preserve"> and </w:t>
      </w:r>
      <w:r w:rsidR="00365E5F" w:rsidRPr="009C02B5">
        <w:rPr>
          <w:i/>
          <w:lang w:val="en-US"/>
        </w:rPr>
        <w:t xml:space="preserve">recognizing </w:t>
      </w:r>
      <w:r w:rsidR="00365E5F" w:rsidRPr="009C02B5">
        <w:rPr>
          <w:iCs/>
          <w:lang w:val="en-US"/>
        </w:rPr>
        <w:t xml:space="preserve">that </w:t>
      </w:r>
      <w:r w:rsidR="00365E5F" w:rsidRPr="009C02B5">
        <w:rPr>
          <w:lang w:val="en-US"/>
        </w:rPr>
        <w:t xml:space="preserve">co-design, co-creation and co-production of e-services are </w:t>
      </w:r>
      <w:r w:rsidR="00681722" w:rsidRPr="009C02B5">
        <w:rPr>
          <w:lang w:val="en-US"/>
        </w:rPr>
        <w:t>important st</w:t>
      </w:r>
      <w:r w:rsidR="00517514" w:rsidRPr="009C02B5">
        <w:rPr>
          <w:lang w:val="en-US"/>
        </w:rPr>
        <w:t>eps to guarantee non</w:t>
      </w:r>
      <w:r w:rsidR="00365E5F" w:rsidRPr="009C02B5">
        <w:rPr>
          <w:lang w:val="en-US"/>
        </w:rPr>
        <w:t>-discrimination</w:t>
      </w:r>
      <w:r w:rsidR="00662A43" w:rsidRPr="009C02B5">
        <w:rPr>
          <w:lang w:val="en-US"/>
        </w:rPr>
        <w:t>,</w:t>
      </w:r>
    </w:p>
    <w:p w14:paraId="4863B64E" w14:textId="328611C6" w:rsidR="00F92DFC" w:rsidRPr="009C02B5" w:rsidRDefault="00BE190C" w:rsidP="005776BD">
      <w:pPr>
        <w:pStyle w:val="SingleTxtG"/>
        <w:spacing w:line="236" w:lineRule="atLeast"/>
        <w:ind w:firstLine="567"/>
        <w:rPr>
          <w:lang w:val="en-US"/>
        </w:rPr>
      </w:pPr>
      <w:r w:rsidRPr="009C02B5">
        <w:rPr>
          <w:i/>
          <w:lang w:val="en-US"/>
        </w:rPr>
        <w:t>PP2</w:t>
      </w:r>
      <w:r w:rsidR="007734DA" w:rsidRPr="009C02B5">
        <w:rPr>
          <w:i/>
          <w:lang w:val="en-US"/>
        </w:rPr>
        <w:t>1</w:t>
      </w:r>
      <w:r w:rsidRPr="009C02B5">
        <w:rPr>
          <w:i/>
          <w:lang w:val="en-US"/>
        </w:rPr>
        <w:t xml:space="preserve"> Recalling </w:t>
      </w:r>
      <w:r w:rsidR="00F37F8D" w:rsidRPr="009C02B5">
        <w:rPr>
          <w:iCs/>
          <w:lang w:val="en-US"/>
        </w:rPr>
        <w:t xml:space="preserve">that </w:t>
      </w:r>
      <w:r w:rsidR="00F37F8D" w:rsidRPr="009C02B5">
        <w:rPr>
          <w:lang w:val="en-US"/>
        </w:rPr>
        <w:t xml:space="preserve">under the Guiding Principles on Business and Human Rights, digital technology businesses </w:t>
      </w:r>
      <w:r w:rsidR="00E80AE9" w:rsidRPr="009C02B5">
        <w:rPr>
          <w:lang w:val="en-US"/>
        </w:rPr>
        <w:t xml:space="preserve">should </w:t>
      </w:r>
      <w:r w:rsidR="00F37F8D" w:rsidRPr="009C02B5">
        <w:rPr>
          <w:lang w:val="en-US"/>
        </w:rPr>
        <w:t xml:space="preserve">respect human rights by identifying, addressing and mitigating risks, </w:t>
      </w:r>
      <w:r w:rsidR="001C0B84" w:rsidRPr="009C02B5">
        <w:rPr>
          <w:lang w:val="en-US"/>
        </w:rPr>
        <w:t xml:space="preserve">including </w:t>
      </w:r>
      <w:r w:rsidR="00C9635D" w:rsidRPr="009C02B5">
        <w:rPr>
          <w:lang w:val="en-US"/>
        </w:rPr>
        <w:t xml:space="preserve">through </w:t>
      </w:r>
      <w:r w:rsidR="00F37F8D" w:rsidRPr="009C02B5">
        <w:rPr>
          <w:lang w:val="en-US"/>
        </w:rPr>
        <w:t xml:space="preserve">human rights due diligence, transparent data practices, accessibility and </w:t>
      </w:r>
      <w:r w:rsidR="00563E35" w:rsidRPr="009C02B5">
        <w:rPr>
          <w:lang w:val="en-US"/>
        </w:rPr>
        <w:t xml:space="preserve">inclusive </w:t>
      </w:r>
      <w:r w:rsidR="00F37F8D" w:rsidRPr="009C02B5">
        <w:rPr>
          <w:lang w:val="en-US"/>
        </w:rPr>
        <w:t>non-discriminatory design, particularly for persons with disabilities, to ensure that innovations uphold privacy, equality</w:t>
      </w:r>
      <w:r w:rsidR="00F16183" w:rsidRPr="009C02B5">
        <w:rPr>
          <w:lang w:val="en-US"/>
        </w:rPr>
        <w:t xml:space="preserve">, </w:t>
      </w:r>
      <w:r w:rsidR="00F37F8D" w:rsidRPr="009C02B5">
        <w:rPr>
          <w:lang w:val="en-US"/>
        </w:rPr>
        <w:t>dignity</w:t>
      </w:r>
      <w:r w:rsidR="00F16183" w:rsidRPr="009C02B5">
        <w:rPr>
          <w:lang w:val="en-US"/>
        </w:rPr>
        <w:t xml:space="preserve"> and other rights,</w:t>
      </w:r>
    </w:p>
    <w:p w14:paraId="1CB939CA" w14:textId="6458DA1C" w:rsidR="00FB75B3" w:rsidRPr="009C02B5" w:rsidRDefault="00F37ED8">
      <w:pPr>
        <w:pStyle w:val="SingleTxtG"/>
        <w:spacing w:line="236" w:lineRule="atLeast"/>
        <w:ind w:firstLine="567"/>
        <w:rPr>
          <w:iCs/>
          <w:lang w:val="en-US"/>
        </w:rPr>
      </w:pPr>
      <w:r w:rsidRPr="009C02B5">
        <w:rPr>
          <w:i/>
          <w:iCs/>
          <w:lang w:val="en-US"/>
        </w:rPr>
        <w:t xml:space="preserve">PP21 bis </w:t>
      </w:r>
      <w:r w:rsidRPr="009C02B5">
        <w:rPr>
          <w:i/>
          <w:iCs/>
          <w:color w:val="212121"/>
          <w:lang w:val="en-US"/>
        </w:rPr>
        <w:t xml:space="preserve">Noting </w:t>
      </w:r>
      <w:r w:rsidRPr="009C02B5">
        <w:rPr>
          <w:color w:val="212121"/>
          <w:lang w:val="en-US"/>
        </w:rPr>
        <w:t xml:space="preserve">that while digital technologies provide opportunities for advancing disability rights, </w:t>
      </w:r>
      <w:r w:rsidR="00021DD1" w:rsidRPr="009C02B5">
        <w:rPr>
          <w:color w:val="212121"/>
          <w:lang w:val="en-ZA"/>
        </w:rPr>
        <w:t xml:space="preserve">the use of these technologies is </w:t>
      </w:r>
      <w:r w:rsidRPr="009C02B5">
        <w:rPr>
          <w:color w:val="212121"/>
          <w:lang w:val="en-US"/>
        </w:rPr>
        <w:t>also associated with significant risks for persons with disabilities</w:t>
      </w:r>
      <w:r w:rsidR="00A2785C" w:rsidRPr="009C02B5">
        <w:rPr>
          <w:color w:val="212121"/>
          <w:lang w:val="en-US"/>
        </w:rPr>
        <w:t>,</w:t>
      </w:r>
      <w:r w:rsidR="00F3643A" w:rsidRPr="009C02B5">
        <w:rPr>
          <w:color w:val="212121"/>
          <w:lang w:val="en-US"/>
        </w:rPr>
        <w:t xml:space="preserve"> </w:t>
      </w:r>
      <w:r w:rsidR="00A2785C" w:rsidRPr="009C02B5">
        <w:rPr>
          <w:color w:val="212121"/>
          <w:lang w:val="en-US"/>
        </w:rPr>
        <w:t xml:space="preserve">and </w:t>
      </w:r>
      <w:r w:rsidR="00A2785C" w:rsidRPr="009C02B5">
        <w:rPr>
          <w:i/>
          <w:lang w:val="en-US"/>
        </w:rPr>
        <w:t>n</w:t>
      </w:r>
      <w:r w:rsidR="005D6EA2" w:rsidRPr="009C02B5">
        <w:rPr>
          <w:i/>
          <w:lang w:val="en-US"/>
        </w:rPr>
        <w:t>oting</w:t>
      </w:r>
      <w:r w:rsidR="00A2785C" w:rsidRPr="009C02B5">
        <w:rPr>
          <w:i/>
          <w:lang w:val="en-US"/>
        </w:rPr>
        <w:t xml:space="preserve"> also</w:t>
      </w:r>
      <w:r w:rsidR="00FB75B3" w:rsidRPr="009C02B5">
        <w:rPr>
          <w:i/>
          <w:lang w:val="en-US"/>
        </w:rPr>
        <w:t xml:space="preserve"> </w:t>
      </w:r>
      <w:r w:rsidR="00FB75B3" w:rsidRPr="009C02B5">
        <w:rPr>
          <w:lang w:val="en-US"/>
        </w:rPr>
        <w:t>the potential of artificial intelligence to improve accessibility, independence and personalized support</w:t>
      </w:r>
      <w:r w:rsidR="002370BC" w:rsidRPr="009C02B5">
        <w:rPr>
          <w:lang w:val="en-US"/>
        </w:rPr>
        <w:t xml:space="preserve"> of persons with disabilities</w:t>
      </w:r>
      <w:r w:rsidR="00FB75B3" w:rsidRPr="009C02B5">
        <w:rPr>
          <w:lang w:val="en-US"/>
        </w:rPr>
        <w:t>, including in education, employment and healthcare</w:t>
      </w:r>
      <w:r w:rsidR="002370BC" w:rsidRPr="009C02B5">
        <w:rPr>
          <w:lang w:val="en-US"/>
        </w:rPr>
        <w:t xml:space="preserve">, </w:t>
      </w:r>
      <w:r w:rsidR="0088344D" w:rsidRPr="009C02B5">
        <w:rPr>
          <w:iCs/>
          <w:lang w:val="en-US"/>
        </w:rPr>
        <w:t>while ack</w:t>
      </w:r>
      <w:r w:rsidR="00004247" w:rsidRPr="009C02B5">
        <w:rPr>
          <w:iCs/>
          <w:lang w:val="en-US"/>
        </w:rPr>
        <w:t>nowledging</w:t>
      </w:r>
      <w:r w:rsidR="00CD096A" w:rsidRPr="009C02B5">
        <w:rPr>
          <w:lang w:val="en-US"/>
        </w:rPr>
        <w:t xml:space="preserve"> the</w:t>
      </w:r>
      <w:r w:rsidR="00FB75B3" w:rsidRPr="009C02B5">
        <w:rPr>
          <w:lang w:val="en-US"/>
        </w:rPr>
        <w:t xml:space="preserve"> risks </w:t>
      </w:r>
      <w:r w:rsidR="00CD096A" w:rsidRPr="009C02B5">
        <w:rPr>
          <w:lang w:val="en-US"/>
        </w:rPr>
        <w:t xml:space="preserve">posed by artificial intelligence </w:t>
      </w:r>
      <w:r w:rsidR="0004206E" w:rsidRPr="009C02B5">
        <w:rPr>
          <w:lang w:val="en-US"/>
        </w:rPr>
        <w:t xml:space="preserve">for persons with disabilities, </w:t>
      </w:r>
      <w:r w:rsidR="00FB75B3" w:rsidRPr="009C02B5">
        <w:rPr>
          <w:lang w:val="en-US"/>
        </w:rPr>
        <w:t xml:space="preserve">such as exclusion, discrimination and privacy violations, </w:t>
      </w:r>
      <w:r w:rsidR="00EF697D" w:rsidRPr="009C02B5">
        <w:rPr>
          <w:iCs/>
          <w:lang w:val="en-US"/>
        </w:rPr>
        <w:t>noting</w:t>
      </w:r>
      <w:r w:rsidR="0004206E" w:rsidRPr="009C02B5">
        <w:rPr>
          <w:lang w:val="en-US"/>
        </w:rPr>
        <w:t xml:space="preserve"> </w:t>
      </w:r>
      <w:r w:rsidR="00FB75B3" w:rsidRPr="009C02B5">
        <w:rPr>
          <w:lang w:val="en-US"/>
        </w:rPr>
        <w:t xml:space="preserve">that artificial intelligence systems </w:t>
      </w:r>
      <w:r w:rsidR="00913191" w:rsidRPr="009C02B5">
        <w:rPr>
          <w:lang w:val="en-US"/>
        </w:rPr>
        <w:t>may</w:t>
      </w:r>
      <w:r w:rsidR="00FB75B3" w:rsidRPr="009C02B5">
        <w:rPr>
          <w:lang w:val="en-US"/>
        </w:rPr>
        <w:t xml:space="preserve"> overlook the</w:t>
      </w:r>
      <w:r w:rsidR="00B73849" w:rsidRPr="009C02B5">
        <w:rPr>
          <w:lang w:val="en-US"/>
        </w:rPr>
        <w:t xml:space="preserve">ir </w:t>
      </w:r>
      <w:r w:rsidR="00C127D1" w:rsidRPr="009C02B5">
        <w:rPr>
          <w:lang w:val="en-US"/>
        </w:rPr>
        <w:t xml:space="preserve">rights and </w:t>
      </w:r>
      <w:r w:rsidR="00FB75B3" w:rsidRPr="009C02B5">
        <w:rPr>
          <w:lang w:val="en-US"/>
        </w:rPr>
        <w:t xml:space="preserve">specific </w:t>
      </w:r>
      <w:r w:rsidR="00C127D1" w:rsidRPr="009C02B5">
        <w:rPr>
          <w:lang w:val="en-US"/>
        </w:rPr>
        <w:t>requirements</w:t>
      </w:r>
      <w:r w:rsidR="00FB75B3" w:rsidRPr="009C02B5">
        <w:rPr>
          <w:lang w:val="en-US"/>
        </w:rPr>
        <w:t>, exacerbating inequalities</w:t>
      </w:r>
      <w:r w:rsidR="00913191" w:rsidRPr="009C02B5">
        <w:rPr>
          <w:lang w:val="en-US"/>
        </w:rPr>
        <w:t>,</w:t>
      </w:r>
    </w:p>
    <w:p w14:paraId="38EBBCFC" w14:textId="1987EF86" w:rsidR="005C1D6D" w:rsidRPr="009C02B5" w:rsidRDefault="00AB4880" w:rsidP="00AB53F5">
      <w:pPr>
        <w:pStyle w:val="SingleTxtG"/>
        <w:spacing w:line="236" w:lineRule="atLeast"/>
        <w:rPr>
          <w:lang w:val="en-US"/>
        </w:rPr>
      </w:pPr>
      <w:r w:rsidRPr="009C02B5">
        <w:rPr>
          <w:i/>
          <w:lang w:val="en-US"/>
        </w:rPr>
        <w:tab/>
      </w:r>
      <w:r w:rsidRPr="009C02B5">
        <w:rPr>
          <w:i/>
          <w:lang w:val="en-US"/>
        </w:rPr>
        <w:tab/>
      </w:r>
      <w:r w:rsidRPr="009C02B5">
        <w:rPr>
          <w:i/>
          <w:lang w:val="en-US"/>
        </w:rPr>
        <w:tab/>
      </w:r>
      <w:r w:rsidRPr="009C02B5">
        <w:rPr>
          <w:i/>
          <w:lang w:val="en-US"/>
        </w:rPr>
        <w:tab/>
      </w:r>
    </w:p>
    <w:p w14:paraId="46BDD6F4" w14:textId="329122AA" w:rsidR="005C1D6D" w:rsidRPr="009C02B5" w:rsidRDefault="00AB4880" w:rsidP="00FE2DBD">
      <w:pPr>
        <w:pStyle w:val="SingleTxtG"/>
        <w:spacing w:line="236" w:lineRule="atLeast"/>
        <w:rPr>
          <w:lang w:val="en-US"/>
        </w:rPr>
      </w:pPr>
      <w:r w:rsidRPr="009C02B5">
        <w:rPr>
          <w:i/>
          <w:lang w:val="en-US"/>
        </w:rPr>
        <w:tab/>
      </w:r>
      <w:r w:rsidRPr="009C02B5">
        <w:rPr>
          <w:i/>
          <w:lang w:val="en-US"/>
        </w:rPr>
        <w:tab/>
      </w:r>
      <w:r w:rsidR="00891252" w:rsidRPr="009C02B5">
        <w:rPr>
          <w:i/>
          <w:lang w:val="en-US"/>
        </w:rPr>
        <w:t>PP2</w:t>
      </w:r>
      <w:r w:rsidR="007734DA" w:rsidRPr="009C02B5">
        <w:rPr>
          <w:i/>
          <w:lang w:val="en-US"/>
        </w:rPr>
        <w:t>2</w:t>
      </w:r>
      <w:r w:rsidR="00891252" w:rsidRPr="009C02B5">
        <w:rPr>
          <w:i/>
          <w:lang w:val="en-US"/>
        </w:rPr>
        <w:t xml:space="preserve"> </w:t>
      </w:r>
      <w:r w:rsidR="005C1D6D" w:rsidRPr="009C02B5">
        <w:rPr>
          <w:i/>
          <w:lang w:val="en-US"/>
        </w:rPr>
        <w:t>Deeply concerned</w:t>
      </w:r>
      <w:r w:rsidR="005C1D6D" w:rsidRPr="009C02B5">
        <w:rPr>
          <w:lang w:val="en-US"/>
        </w:rPr>
        <w:t xml:space="preserve"> that women and girls with disabilities of all ages face multiple, aggravated and intersecting forms of stigma and discrimination, which constitute barriers to community inclusion not only compared to other women and girls without disabilities but also compared to men and boys with disabilities, and are also disproportionally exposed to violence, including sexual and gender-based violence and abuse, </w:t>
      </w:r>
      <w:r w:rsidR="00E34243" w:rsidRPr="009C02B5">
        <w:rPr>
          <w:lang w:val="en-US"/>
        </w:rPr>
        <w:t xml:space="preserve">as well as </w:t>
      </w:r>
      <w:r w:rsidR="002016A4" w:rsidRPr="009C02B5">
        <w:rPr>
          <w:lang w:val="en-US"/>
        </w:rPr>
        <w:t xml:space="preserve">disproportionately affected by housing crises and mobility and digital </w:t>
      </w:r>
      <w:r w:rsidR="00C23CDD" w:rsidRPr="009C02B5">
        <w:rPr>
          <w:lang w:val="en-US"/>
        </w:rPr>
        <w:t>technological</w:t>
      </w:r>
      <w:r w:rsidR="002016A4" w:rsidRPr="009C02B5">
        <w:rPr>
          <w:lang w:val="en-US"/>
        </w:rPr>
        <w:t xml:space="preserve"> barriers, </w:t>
      </w:r>
      <w:r w:rsidR="005C1D6D" w:rsidRPr="009C02B5">
        <w:rPr>
          <w:lang w:val="en-US"/>
        </w:rPr>
        <w:t xml:space="preserve">and that existing </w:t>
      </w:r>
      <w:r w:rsidR="00126F34" w:rsidRPr="009C02B5">
        <w:rPr>
          <w:lang w:val="en-US"/>
        </w:rPr>
        <w:t xml:space="preserve"> </w:t>
      </w:r>
      <w:r w:rsidR="00995A84" w:rsidRPr="009C02B5">
        <w:rPr>
          <w:lang w:val="en-US"/>
        </w:rPr>
        <w:t>infrast</w:t>
      </w:r>
      <w:r w:rsidR="00126F34" w:rsidRPr="009C02B5">
        <w:rPr>
          <w:lang w:val="en-US"/>
        </w:rPr>
        <w:t>ructure</w:t>
      </w:r>
      <w:r w:rsidR="00E966C4" w:rsidRPr="009C02B5">
        <w:rPr>
          <w:lang w:val="en-US"/>
        </w:rPr>
        <w:t xml:space="preserve"> and techno</w:t>
      </w:r>
      <w:r w:rsidR="000A1826" w:rsidRPr="009C02B5">
        <w:rPr>
          <w:lang w:val="en-US"/>
        </w:rPr>
        <w:t>l</w:t>
      </w:r>
      <w:r w:rsidR="00E966C4" w:rsidRPr="009C02B5">
        <w:rPr>
          <w:lang w:val="en-US"/>
        </w:rPr>
        <w:t>ogy</w:t>
      </w:r>
      <w:r w:rsidR="005C1D6D" w:rsidRPr="009C02B5">
        <w:rPr>
          <w:lang w:val="en-US"/>
        </w:rPr>
        <w:t xml:space="preserve"> may not adequately respond to the rights and needs of women and girls with disabilities, ,</w:t>
      </w:r>
    </w:p>
    <w:p w14:paraId="221E0E2B" w14:textId="53599A0B" w:rsidR="00D05137" w:rsidRPr="009C02B5" w:rsidRDefault="00D05137" w:rsidP="00FE2DBD">
      <w:pPr>
        <w:pStyle w:val="SingleTxtG"/>
        <w:spacing w:line="236" w:lineRule="atLeast"/>
        <w:rPr>
          <w:iCs/>
          <w:lang w:val="en-US"/>
        </w:rPr>
      </w:pPr>
      <w:r w:rsidRPr="009C02B5">
        <w:rPr>
          <w:i/>
          <w:lang w:val="en-US"/>
        </w:rPr>
        <w:tab/>
      </w:r>
      <w:r w:rsidRPr="009C02B5">
        <w:rPr>
          <w:i/>
          <w:lang w:val="en-US"/>
        </w:rPr>
        <w:tab/>
        <w:t xml:space="preserve">PP22 bis </w:t>
      </w:r>
      <w:r w:rsidR="00B67C22" w:rsidRPr="009C02B5">
        <w:rPr>
          <w:i/>
          <w:lang w:val="en-US"/>
        </w:rPr>
        <w:t>Recognizing</w:t>
      </w:r>
      <w:r w:rsidR="00B67C22" w:rsidRPr="009C02B5">
        <w:rPr>
          <w:lang w:val="en-US"/>
        </w:rPr>
        <w:t xml:space="preserve"> that children with disabilities may be particularly exposed and vulnerable to violence and discrimination that occurs through or is amplified by the use of technology, including cyberbullying, cyberstalking, sexual exploitation and abuse, which disproportionately impacts girls with disabilities, and that there is a need to take steps to ensure that the digital environment is accessible, inclusive and safe,</w:t>
      </w:r>
    </w:p>
    <w:p w14:paraId="0C9E9249" w14:textId="0D2E9B2A" w:rsidR="00E30271" w:rsidRPr="009C02B5" w:rsidRDefault="00AB4880" w:rsidP="00AB53F5">
      <w:pPr>
        <w:pStyle w:val="SingleTxtG"/>
        <w:spacing w:line="236" w:lineRule="atLeast"/>
        <w:rPr>
          <w:i/>
          <w:iCs/>
          <w:lang w:val="en-US"/>
        </w:rPr>
      </w:pPr>
      <w:r w:rsidRPr="009C02B5">
        <w:rPr>
          <w:i/>
          <w:lang w:val="en-US"/>
        </w:rPr>
        <w:tab/>
      </w:r>
      <w:r w:rsidRPr="009C02B5">
        <w:rPr>
          <w:i/>
          <w:lang w:val="en-US"/>
        </w:rPr>
        <w:tab/>
      </w:r>
      <w:r w:rsidR="000D780A" w:rsidRPr="009C02B5">
        <w:rPr>
          <w:i/>
          <w:lang w:val="en-US"/>
        </w:rPr>
        <w:t>PP2</w:t>
      </w:r>
      <w:r w:rsidR="007734DA" w:rsidRPr="009C02B5">
        <w:rPr>
          <w:i/>
          <w:lang w:val="en-US"/>
        </w:rPr>
        <w:t>3</w:t>
      </w:r>
      <w:r w:rsidR="000D780A" w:rsidRPr="009C02B5">
        <w:rPr>
          <w:i/>
          <w:lang w:val="en-US"/>
        </w:rPr>
        <w:t xml:space="preserve"> </w:t>
      </w:r>
      <w:r w:rsidR="005C1D6D" w:rsidRPr="009C02B5">
        <w:rPr>
          <w:i/>
          <w:lang w:val="en-US"/>
        </w:rPr>
        <w:t>Deeply concerned</w:t>
      </w:r>
      <w:r w:rsidR="005C1D6D" w:rsidRPr="009C02B5">
        <w:rPr>
          <w:lang w:val="en-US"/>
        </w:rPr>
        <w:t xml:space="preserve"> that persons with disabilities belonging to groups that have been historically discriminated against, disadvantaged</w:t>
      </w:r>
      <w:r w:rsidR="005B7D8A" w:rsidRPr="009C02B5">
        <w:rPr>
          <w:lang w:val="en-US"/>
        </w:rPr>
        <w:t xml:space="preserve">, in vulnerable </w:t>
      </w:r>
      <w:r w:rsidR="00237932" w:rsidRPr="009C02B5">
        <w:rPr>
          <w:lang w:val="en-US"/>
        </w:rPr>
        <w:t xml:space="preserve">or </w:t>
      </w:r>
      <w:r w:rsidR="00E779AA" w:rsidRPr="009C02B5">
        <w:rPr>
          <w:lang w:val="en-US"/>
        </w:rPr>
        <w:t xml:space="preserve">marginalized </w:t>
      </w:r>
      <w:r w:rsidR="005B7D8A" w:rsidRPr="009C02B5">
        <w:rPr>
          <w:lang w:val="en-US"/>
        </w:rPr>
        <w:t>situations</w:t>
      </w:r>
      <w:r w:rsidR="005C1D6D" w:rsidRPr="009C02B5">
        <w:rPr>
          <w:lang w:val="en-US"/>
        </w:rPr>
        <w:t>, such as Indigenous Peoples</w:t>
      </w:r>
      <w:r w:rsidR="00377267" w:rsidRPr="009C02B5">
        <w:rPr>
          <w:lang w:val="en-US"/>
        </w:rPr>
        <w:t xml:space="preserve"> </w:t>
      </w:r>
      <w:r w:rsidR="00377267" w:rsidRPr="009C02B5">
        <w:rPr>
          <w:strike/>
          <w:lang w:val="en-US"/>
        </w:rPr>
        <w:t>and</w:t>
      </w:r>
      <w:r w:rsidR="00377267" w:rsidRPr="009C02B5">
        <w:rPr>
          <w:lang w:val="en-US"/>
        </w:rPr>
        <w:t xml:space="preserve"> people of African Descent</w:t>
      </w:r>
      <w:r w:rsidR="00007008" w:rsidRPr="009C02B5">
        <w:rPr>
          <w:lang w:val="en-US"/>
        </w:rPr>
        <w:t xml:space="preserve">, </w:t>
      </w:r>
      <w:r w:rsidR="00AC4BAB" w:rsidRPr="009C02B5">
        <w:rPr>
          <w:lang w:val="en-US"/>
        </w:rPr>
        <w:t xml:space="preserve">migrants, refugees, </w:t>
      </w:r>
      <w:r w:rsidR="00007008" w:rsidRPr="009C02B5">
        <w:rPr>
          <w:lang w:val="en-US"/>
        </w:rPr>
        <w:t xml:space="preserve">and </w:t>
      </w:r>
      <w:r w:rsidR="00E25348" w:rsidRPr="009C02B5">
        <w:rPr>
          <w:lang w:val="en-US"/>
        </w:rPr>
        <w:t>persons</w:t>
      </w:r>
      <w:r w:rsidR="00D702D6" w:rsidRPr="009C02B5">
        <w:rPr>
          <w:lang w:val="en-US"/>
        </w:rPr>
        <w:t xml:space="preserve"> in situation</w:t>
      </w:r>
      <w:r w:rsidR="00C40A6C" w:rsidRPr="009C02B5">
        <w:rPr>
          <w:lang w:val="en-US"/>
        </w:rPr>
        <w:t>s</w:t>
      </w:r>
      <w:r w:rsidR="00D702D6" w:rsidRPr="009C02B5">
        <w:rPr>
          <w:lang w:val="en-US"/>
        </w:rPr>
        <w:t xml:space="preserve"> of occupation</w:t>
      </w:r>
      <w:r w:rsidR="005C1D6D" w:rsidRPr="009C02B5">
        <w:rPr>
          <w:lang w:val="en-US"/>
        </w:rPr>
        <w:t xml:space="preserve">, are disproportionately affected in </w:t>
      </w:r>
      <w:r w:rsidR="001A2FCF" w:rsidRPr="009C02B5">
        <w:rPr>
          <w:lang w:val="en-US"/>
        </w:rPr>
        <w:t>t</w:t>
      </w:r>
      <w:r w:rsidR="00E2780E" w:rsidRPr="009C02B5">
        <w:rPr>
          <w:lang w:val="en-US"/>
        </w:rPr>
        <w:t>heir</w:t>
      </w:r>
      <w:r w:rsidR="001A2FCF" w:rsidRPr="009C02B5">
        <w:rPr>
          <w:lang w:val="en-US"/>
        </w:rPr>
        <w:t xml:space="preserve"> </w:t>
      </w:r>
      <w:r w:rsidR="005C1D6D" w:rsidRPr="009C02B5">
        <w:rPr>
          <w:lang w:val="en-US"/>
        </w:rPr>
        <w:t xml:space="preserve">access </w:t>
      </w:r>
      <w:r w:rsidR="00E2780E" w:rsidRPr="009C02B5">
        <w:rPr>
          <w:lang w:val="en-US"/>
        </w:rPr>
        <w:t xml:space="preserve">to </w:t>
      </w:r>
      <w:r w:rsidR="00494480" w:rsidRPr="009C02B5">
        <w:rPr>
          <w:lang w:val="en-US"/>
        </w:rPr>
        <w:t>inclusive digital technologi</w:t>
      </w:r>
      <w:r w:rsidR="00E779AA" w:rsidRPr="009C02B5">
        <w:rPr>
          <w:lang w:val="en-US"/>
        </w:rPr>
        <w:t>es</w:t>
      </w:r>
      <w:r w:rsidR="00494480" w:rsidRPr="009C02B5">
        <w:rPr>
          <w:lang w:val="en-US"/>
        </w:rPr>
        <w:t xml:space="preserve"> and infrastructure, including </w:t>
      </w:r>
      <w:r w:rsidR="00CB3DFA" w:rsidRPr="009C02B5">
        <w:rPr>
          <w:lang w:val="en-US"/>
        </w:rPr>
        <w:t>transport and housing</w:t>
      </w:r>
      <w:r w:rsidR="005C1D6D" w:rsidRPr="009C02B5">
        <w:rPr>
          <w:lang w:val="en-US"/>
        </w:rPr>
        <w:t>, and noting that this also impacts, internally displaced persons, , asylum</w:t>
      </w:r>
      <w:r w:rsidR="001A2FCF" w:rsidRPr="009C02B5">
        <w:rPr>
          <w:lang w:val="en-US"/>
        </w:rPr>
        <w:t>-</w:t>
      </w:r>
      <w:r w:rsidR="005C1D6D" w:rsidRPr="009C02B5">
        <w:rPr>
          <w:lang w:val="en-US"/>
        </w:rPr>
        <w:t xml:space="preserve">seekers, persons living in conflict situations, stateless persons and </w:t>
      </w:r>
      <w:r w:rsidR="00D57A05" w:rsidRPr="009C02B5">
        <w:rPr>
          <w:lang w:val="en-US"/>
        </w:rPr>
        <w:t>persons</w:t>
      </w:r>
      <w:r w:rsidR="005C1D6D" w:rsidRPr="009C02B5">
        <w:rPr>
          <w:lang w:val="en-US"/>
        </w:rPr>
        <w:t xml:space="preserve"> with disabilities</w:t>
      </w:r>
      <w:r w:rsidR="00D57A05" w:rsidRPr="009C02B5">
        <w:rPr>
          <w:lang w:val="en-US"/>
        </w:rPr>
        <w:t xml:space="preserve"> deprived of liberty</w:t>
      </w:r>
      <w:r w:rsidR="0036744E" w:rsidRPr="009C02B5">
        <w:rPr>
          <w:lang w:val="en-US"/>
        </w:rPr>
        <w:t>,</w:t>
      </w:r>
      <w:r w:rsidR="00E30271" w:rsidRPr="009C02B5">
        <w:rPr>
          <w:i/>
          <w:iCs/>
          <w:lang w:val="en-US"/>
        </w:rPr>
        <w:t xml:space="preserve"> </w:t>
      </w:r>
    </w:p>
    <w:p w14:paraId="314A39A7" w14:textId="202ACA1A" w:rsidR="00DF2647" w:rsidRPr="009C02B5" w:rsidRDefault="00E30271">
      <w:pPr>
        <w:pStyle w:val="SingleTxtG"/>
        <w:spacing w:line="236" w:lineRule="atLeast"/>
        <w:ind w:firstLine="567"/>
        <w:rPr>
          <w:lang w:val="en-US"/>
        </w:rPr>
      </w:pPr>
      <w:r w:rsidRPr="009C02B5">
        <w:rPr>
          <w:i/>
          <w:iCs/>
          <w:lang w:val="en-US"/>
        </w:rPr>
        <w:t>PP2</w:t>
      </w:r>
      <w:r w:rsidR="007734DA" w:rsidRPr="009C02B5">
        <w:rPr>
          <w:i/>
          <w:iCs/>
          <w:lang w:val="en-US"/>
        </w:rPr>
        <w:t>4</w:t>
      </w:r>
      <w:r w:rsidRPr="009C02B5">
        <w:rPr>
          <w:i/>
          <w:iCs/>
          <w:lang w:val="en-US"/>
        </w:rPr>
        <w:t xml:space="preserve"> Recognizing </w:t>
      </w:r>
      <w:r w:rsidRPr="009C02B5">
        <w:rPr>
          <w:lang w:val="en-US"/>
        </w:rPr>
        <w:t>the right of persons with disabilities to participate in cultural life on an equal basis</w:t>
      </w:r>
      <w:r w:rsidR="00620FE5" w:rsidRPr="009C02B5">
        <w:rPr>
          <w:lang w:val="en-US"/>
        </w:rPr>
        <w:t xml:space="preserve"> with others</w:t>
      </w:r>
      <w:r w:rsidRPr="009C02B5">
        <w:rPr>
          <w:lang w:val="en-US"/>
        </w:rPr>
        <w:t>, as well as to have their own specific cultural and linguistic identit</w:t>
      </w:r>
      <w:r w:rsidR="00DF2647" w:rsidRPr="009C02B5">
        <w:rPr>
          <w:lang w:val="en-US"/>
        </w:rPr>
        <w:t>ies</w:t>
      </w:r>
      <w:r w:rsidRPr="009C02B5">
        <w:rPr>
          <w:lang w:val="en-US"/>
        </w:rPr>
        <w:t>, including sign languages and deaf culture</w:t>
      </w:r>
      <w:r w:rsidR="006A0E6B" w:rsidRPr="009C02B5">
        <w:rPr>
          <w:lang w:val="en-US"/>
        </w:rPr>
        <w:t xml:space="preserve">, and noting </w:t>
      </w:r>
      <w:r w:rsidR="00240AC4" w:rsidRPr="009C02B5">
        <w:rPr>
          <w:lang w:val="en-US"/>
        </w:rPr>
        <w:t>the importance of inclusive digital technologies and infrastructure to guarantee accessibility of persons with disabilities to cultural heritage,</w:t>
      </w:r>
    </w:p>
    <w:p w14:paraId="119A989F" w14:textId="41B2E8EF" w:rsidR="005C1D6D" w:rsidRPr="009C02B5" w:rsidRDefault="0036744E" w:rsidP="00A6648D">
      <w:pPr>
        <w:pStyle w:val="SingleTxtG"/>
        <w:spacing w:line="236" w:lineRule="atLeast"/>
        <w:rPr>
          <w:lang w:val="en-US"/>
        </w:rPr>
      </w:pPr>
      <w:r w:rsidRPr="009C02B5">
        <w:rPr>
          <w:i/>
          <w:iCs/>
          <w:lang w:val="en-US"/>
        </w:rPr>
        <w:tab/>
      </w:r>
      <w:r w:rsidRPr="009C02B5">
        <w:rPr>
          <w:i/>
          <w:iCs/>
          <w:lang w:val="en-US"/>
        </w:rPr>
        <w:tab/>
      </w:r>
      <w:r w:rsidRPr="009C02B5">
        <w:rPr>
          <w:i/>
          <w:lang w:val="en-US"/>
        </w:rPr>
        <w:tab/>
      </w:r>
    </w:p>
    <w:p w14:paraId="72DDD8B6" w14:textId="1407C299" w:rsidR="005C1D6D" w:rsidRPr="009C02B5" w:rsidRDefault="0036744E" w:rsidP="00FE2DBD">
      <w:pPr>
        <w:pStyle w:val="SingleTxtG"/>
        <w:spacing w:line="236" w:lineRule="atLeast"/>
        <w:rPr>
          <w:lang w:val="en-US"/>
        </w:rPr>
      </w:pPr>
      <w:r w:rsidRPr="009C02B5">
        <w:rPr>
          <w:i/>
          <w:iCs/>
          <w:lang w:val="en-US"/>
        </w:rPr>
        <w:tab/>
      </w:r>
      <w:r w:rsidRPr="009C02B5">
        <w:rPr>
          <w:i/>
          <w:iCs/>
          <w:lang w:val="en-US"/>
        </w:rPr>
        <w:tab/>
      </w:r>
      <w:bookmarkStart w:id="1" w:name="_Hlk161907175"/>
      <w:r w:rsidR="000D780A" w:rsidRPr="009C02B5">
        <w:rPr>
          <w:i/>
          <w:iCs/>
          <w:lang w:val="en-US"/>
        </w:rPr>
        <w:t>PP2</w:t>
      </w:r>
      <w:r w:rsidR="007734DA" w:rsidRPr="009C02B5">
        <w:rPr>
          <w:i/>
          <w:iCs/>
          <w:lang w:val="en-US"/>
        </w:rPr>
        <w:t>5</w:t>
      </w:r>
      <w:r w:rsidR="000D780A" w:rsidRPr="009C02B5">
        <w:rPr>
          <w:i/>
          <w:iCs/>
          <w:lang w:val="en-US"/>
        </w:rPr>
        <w:t xml:space="preserve"> </w:t>
      </w:r>
      <w:r w:rsidR="005C1D6D" w:rsidRPr="009C02B5">
        <w:rPr>
          <w:i/>
          <w:iCs/>
          <w:lang w:val="en-US"/>
        </w:rPr>
        <w:t xml:space="preserve">Welcoming </w:t>
      </w:r>
      <w:r w:rsidR="005C1D6D" w:rsidRPr="009C02B5">
        <w:rPr>
          <w:lang w:val="en-US"/>
        </w:rPr>
        <w:t>the work of the Special Rapporteur on the rights of persons with disabilities</w:t>
      </w:r>
      <w:bookmarkEnd w:id="1"/>
      <w:r w:rsidR="005C1D6D" w:rsidRPr="009C02B5">
        <w:rPr>
          <w:lang w:val="en-US"/>
        </w:rPr>
        <w:t xml:space="preserve">, </w:t>
      </w:r>
      <w:bookmarkStart w:id="2" w:name="_Hlk161907254"/>
      <w:r w:rsidR="005C1D6D" w:rsidRPr="009C02B5">
        <w:rPr>
          <w:lang w:val="en-US"/>
        </w:rPr>
        <w:t>and taking note with appreciation of the reports</w:t>
      </w:r>
      <w:bookmarkEnd w:id="2"/>
      <w:r w:rsidR="009B083D" w:rsidRPr="009C02B5">
        <w:rPr>
          <w:lang w:val="en-US"/>
        </w:rPr>
        <w:t xml:space="preserve"> of the Special Rapporteur</w:t>
      </w:r>
      <w:r w:rsidR="005C1D6D" w:rsidRPr="009C02B5">
        <w:rPr>
          <w:lang w:val="en-US"/>
        </w:rPr>
        <w:t>,</w:t>
      </w:r>
      <w:r w:rsidR="0037708F" w:rsidRPr="009C02B5">
        <w:rPr>
          <w:rStyle w:val="FootnoteReference"/>
          <w:lang w:val="en-US"/>
        </w:rPr>
        <w:footnoteReference w:id="2"/>
      </w:r>
    </w:p>
    <w:p w14:paraId="43CFACDC" w14:textId="7254CA56" w:rsidR="005C1D6D" w:rsidRPr="009C02B5" w:rsidRDefault="0036744E" w:rsidP="00FE2DBD">
      <w:pPr>
        <w:pStyle w:val="SingleTxtG"/>
        <w:spacing w:line="236" w:lineRule="atLeast"/>
        <w:rPr>
          <w:lang w:val="en-US"/>
        </w:rPr>
      </w:pPr>
      <w:r w:rsidRPr="009C02B5">
        <w:rPr>
          <w:i/>
          <w:lang w:val="en-US"/>
        </w:rPr>
        <w:tab/>
      </w:r>
      <w:r w:rsidRPr="009C02B5">
        <w:rPr>
          <w:i/>
          <w:lang w:val="en-US"/>
        </w:rPr>
        <w:tab/>
      </w:r>
      <w:r w:rsidR="000D780A" w:rsidRPr="009C02B5">
        <w:rPr>
          <w:i/>
          <w:lang w:val="en-US"/>
        </w:rPr>
        <w:t>PP2</w:t>
      </w:r>
      <w:r w:rsidR="007734DA" w:rsidRPr="009C02B5">
        <w:rPr>
          <w:i/>
          <w:lang w:val="en-US"/>
        </w:rPr>
        <w:t>6</w:t>
      </w:r>
      <w:r w:rsidR="000D780A" w:rsidRPr="009C02B5">
        <w:rPr>
          <w:i/>
          <w:lang w:val="en-US"/>
        </w:rPr>
        <w:t xml:space="preserve"> </w:t>
      </w:r>
      <w:r w:rsidR="005C1D6D" w:rsidRPr="009C02B5">
        <w:rPr>
          <w:i/>
          <w:lang w:val="en-US"/>
        </w:rPr>
        <w:t>Welcoming</w:t>
      </w:r>
      <w:r w:rsidR="005C1D6D" w:rsidRPr="009C02B5">
        <w:rPr>
          <w:lang w:val="en-US"/>
        </w:rPr>
        <w:t xml:space="preserve"> </w:t>
      </w:r>
      <w:r w:rsidR="005C1D6D" w:rsidRPr="009C02B5">
        <w:rPr>
          <w:i/>
          <w:iCs/>
          <w:lang w:val="en-US"/>
        </w:rPr>
        <w:t>also</w:t>
      </w:r>
      <w:r w:rsidR="005C1D6D" w:rsidRPr="009C02B5">
        <w:rPr>
          <w:lang w:val="en-US"/>
        </w:rPr>
        <w:t xml:space="preserve"> the work of the Committee on the Rights of Persons with Disabilities and taking note with appreciation of its general comments, and noting </w:t>
      </w:r>
      <w:r w:rsidR="00C13C9F" w:rsidRPr="009C02B5">
        <w:rPr>
          <w:lang w:val="en-US"/>
        </w:rPr>
        <w:t>its</w:t>
      </w:r>
      <w:r w:rsidR="005C1D6D" w:rsidRPr="009C02B5">
        <w:rPr>
          <w:lang w:val="en-US"/>
        </w:rPr>
        <w:t xml:space="preserve"> </w:t>
      </w:r>
      <w:r w:rsidR="00C13C9F" w:rsidRPr="009C02B5">
        <w:rPr>
          <w:lang w:val="en-US"/>
        </w:rPr>
        <w:t>g</w:t>
      </w:r>
      <w:r w:rsidR="005C1D6D" w:rsidRPr="009C02B5">
        <w:rPr>
          <w:lang w:val="en-US"/>
        </w:rPr>
        <w:t>uidelines on deinstitutionali</w:t>
      </w:r>
      <w:r w:rsidR="00C13C9F" w:rsidRPr="009C02B5">
        <w:rPr>
          <w:lang w:val="en-US"/>
        </w:rPr>
        <w:t>z</w:t>
      </w:r>
      <w:r w:rsidR="005C1D6D" w:rsidRPr="009C02B5">
        <w:rPr>
          <w:lang w:val="en-US"/>
        </w:rPr>
        <w:t>ation, including in emergencies,</w:t>
      </w:r>
      <w:r w:rsidR="00C13C9F" w:rsidRPr="009C02B5">
        <w:rPr>
          <w:rStyle w:val="FootnoteReference"/>
          <w:lang w:val="en-US"/>
        </w:rPr>
        <w:footnoteReference w:id="3"/>
      </w:r>
    </w:p>
    <w:p w14:paraId="11275FBF" w14:textId="5BE6BAE0" w:rsidR="005C1D6D" w:rsidRPr="009C02B5" w:rsidRDefault="0036744E" w:rsidP="00FE2DBD">
      <w:pPr>
        <w:pStyle w:val="SingleTxtG"/>
        <w:spacing w:line="236" w:lineRule="atLeast"/>
        <w:rPr>
          <w:lang w:val="en-US"/>
        </w:rPr>
      </w:pPr>
      <w:r w:rsidRPr="009C02B5">
        <w:rPr>
          <w:i/>
          <w:iCs/>
          <w:lang w:val="en-US"/>
        </w:rPr>
        <w:tab/>
      </w:r>
      <w:r w:rsidRPr="009C02B5">
        <w:rPr>
          <w:i/>
          <w:iCs/>
          <w:lang w:val="en-US"/>
        </w:rPr>
        <w:tab/>
      </w:r>
      <w:r w:rsidR="000D780A" w:rsidRPr="009C02B5">
        <w:rPr>
          <w:i/>
          <w:iCs/>
          <w:lang w:val="en-US"/>
        </w:rPr>
        <w:t>PP</w:t>
      </w:r>
      <w:r w:rsidR="005F5869" w:rsidRPr="009C02B5">
        <w:rPr>
          <w:i/>
          <w:iCs/>
          <w:lang w:val="en-US"/>
        </w:rPr>
        <w:t>2</w:t>
      </w:r>
      <w:r w:rsidR="007734DA" w:rsidRPr="009C02B5">
        <w:rPr>
          <w:i/>
          <w:iCs/>
          <w:lang w:val="en-US"/>
        </w:rPr>
        <w:t>7</w:t>
      </w:r>
      <w:r w:rsidR="000D780A" w:rsidRPr="009C02B5">
        <w:rPr>
          <w:i/>
          <w:iCs/>
          <w:lang w:val="en-US"/>
        </w:rPr>
        <w:t xml:space="preserve"> </w:t>
      </w:r>
      <w:r w:rsidR="005C1D6D" w:rsidRPr="009C02B5">
        <w:rPr>
          <w:i/>
          <w:iCs/>
          <w:lang w:val="en-US"/>
        </w:rPr>
        <w:t xml:space="preserve">Welcoming further </w:t>
      </w:r>
      <w:r w:rsidR="005C1D6D" w:rsidRPr="009C02B5">
        <w:rPr>
          <w:lang w:val="en-US"/>
        </w:rPr>
        <w:t>the work undertaken by the task force on secretariat services, accessibility for persons with disabilities and use of information technology,</w:t>
      </w:r>
    </w:p>
    <w:p w14:paraId="2E90E47A" w14:textId="3E30C23A" w:rsidR="005C1D6D" w:rsidRPr="009C02B5" w:rsidRDefault="0036744E" w:rsidP="00FE2DBD">
      <w:pPr>
        <w:pStyle w:val="SingleTxtG"/>
        <w:spacing w:line="236" w:lineRule="atLeast"/>
        <w:rPr>
          <w:lang w:val="en-US"/>
        </w:rPr>
      </w:pPr>
      <w:r w:rsidRPr="009C02B5">
        <w:rPr>
          <w:lang w:val="en-US"/>
        </w:rPr>
        <w:tab/>
      </w:r>
      <w:r w:rsidRPr="009C02B5">
        <w:rPr>
          <w:lang w:val="en-US"/>
        </w:rPr>
        <w:tab/>
      </w:r>
      <w:r w:rsidR="005C1D6D" w:rsidRPr="009C02B5">
        <w:rPr>
          <w:lang w:val="en-US"/>
        </w:rPr>
        <w:t>1.</w:t>
      </w:r>
      <w:r w:rsidR="005C1D6D" w:rsidRPr="009C02B5">
        <w:rPr>
          <w:lang w:val="en-US"/>
        </w:rPr>
        <w:tab/>
      </w:r>
      <w:r w:rsidR="005C1D6D" w:rsidRPr="009C02B5">
        <w:rPr>
          <w:i/>
          <w:iCs/>
          <w:lang w:val="en-US"/>
        </w:rPr>
        <w:t xml:space="preserve">Welcomes </w:t>
      </w:r>
      <w:r w:rsidR="005C1D6D" w:rsidRPr="009C02B5">
        <w:rPr>
          <w:lang w:val="en-US"/>
        </w:rPr>
        <w:t>the fact that, to date, 1</w:t>
      </w:r>
      <w:r w:rsidR="00F26153" w:rsidRPr="009C02B5">
        <w:rPr>
          <w:lang w:val="en-US"/>
        </w:rPr>
        <w:t>93</w:t>
      </w:r>
      <w:r w:rsidR="005C1D6D" w:rsidRPr="009C02B5">
        <w:rPr>
          <w:lang w:val="en-US"/>
        </w:rPr>
        <w:t xml:space="preserve"> States and one regional integration organization have ratified or acceded to the Convention on the Rights of Persons with Disabilities, and that 10</w:t>
      </w:r>
      <w:r w:rsidR="00F26153" w:rsidRPr="009C02B5">
        <w:rPr>
          <w:lang w:val="en-US"/>
        </w:rPr>
        <w:t>8</w:t>
      </w:r>
      <w:r w:rsidR="005C1D6D" w:rsidRPr="009C02B5">
        <w:rPr>
          <w:lang w:val="en-US"/>
        </w:rPr>
        <w:t xml:space="preserve"> States have ratified or acceded to the Optional Protocol to the Convention, and calls upon those States and regional integration organizations that have not yet ratified or acceded to the Convention and the Optional Protocol to consider doing so as a matter of priority;</w:t>
      </w:r>
    </w:p>
    <w:p w14:paraId="0799D7BE" w14:textId="7122A780" w:rsidR="005C1D6D" w:rsidRPr="009C02B5" w:rsidRDefault="0036744E" w:rsidP="00FE2DBD">
      <w:pPr>
        <w:pStyle w:val="SingleTxtG"/>
        <w:spacing w:line="236" w:lineRule="atLeast"/>
        <w:rPr>
          <w:lang w:val="en-US"/>
        </w:rPr>
      </w:pPr>
      <w:r w:rsidRPr="009C02B5">
        <w:rPr>
          <w:lang w:val="en-US"/>
        </w:rPr>
        <w:tab/>
      </w:r>
      <w:r w:rsidRPr="009C02B5">
        <w:rPr>
          <w:lang w:val="en-US"/>
        </w:rPr>
        <w:tab/>
      </w:r>
      <w:r w:rsidR="005C1D6D" w:rsidRPr="009C02B5">
        <w:rPr>
          <w:lang w:val="en-US"/>
        </w:rPr>
        <w:t>2.</w:t>
      </w:r>
      <w:r w:rsidR="005C1D6D" w:rsidRPr="009C02B5">
        <w:rPr>
          <w:lang w:val="en-US"/>
        </w:rPr>
        <w:tab/>
      </w:r>
      <w:r w:rsidR="005C1D6D" w:rsidRPr="009C02B5">
        <w:rPr>
          <w:i/>
          <w:iCs/>
          <w:lang w:val="en-US"/>
        </w:rPr>
        <w:t xml:space="preserve">Encourages </w:t>
      </w:r>
      <w:r w:rsidR="005C1D6D" w:rsidRPr="009C02B5">
        <w:rPr>
          <w:lang w:val="en-US"/>
        </w:rPr>
        <w:t xml:space="preserve">States that have ratified the Convention and have submitted one or more reservations to it to initiate a process to review regularly the effect and continued relevance of such reservations, and to consider the possibility of withdrawing </w:t>
      </w:r>
      <w:proofErr w:type="gramStart"/>
      <w:r w:rsidR="005C1D6D" w:rsidRPr="009C02B5">
        <w:rPr>
          <w:lang w:val="en-US"/>
        </w:rPr>
        <w:t>them;</w:t>
      </w:r>
      <w:proofErr w:type="gramEnd"/>
    </w:p>
    <w:p w14:paraId="33F64913" w14:textId="200023DD" w:rsidR="005C1D6D" w:rsidRPr="009C02B5" w:rsidRDefault="0036744E" w:rsidP="0079627B">
      <w:pPr>
        <w:pStyle w:val="SingleTxtG"/>
        <w:spacing w:line="236" w:lineRule="atLeast"/>
        <w:rPr>
          <w:lang w:val="en-US"/>
        </w:rPr>
      </w:pPr>
      <w:r w:rsidRPr="009C02B5">
        <w:rPr>
          <w:lang w:val="en-US"/>
        </w:rPr>
        <w:tab/>
      </w:r>
      <w:r w:rsidRPr="009C02B5">
        <w:rPr>
          <w:lang w:val="en-US"/>
        </w:rPr>
        <w:tab/>
      </w:r>
      <w:r w:rsidR="005C1D6D" w:rsidRPr="009C02B5">
        <w:rPr>
          <w:lang w:val="en-US"/>
        </w:rPr>
        <w:t>3.</w:t>
      </w:r>
      <w:r w:rsidR="005C1D6D" w:rsidRPr="009C02B5">
        <w:rPr>
          <w:lang w:val="en-US"/>
        </w:rPr>
        <w:tab/>
      </w:r>
      <w:r w:rsidR="005C1D6D" w:rsidRPr="009C02B5">
        <w:rPr>
          <w:i/>
          <w:iCs/>
          <w:lang w:val="en-US"/>
        </w:rPr>
        <w:t xml:space="preserve">Welcomes </w:t>
      </w:r>
      <w:r w:rsidR="005C1D6D" w:rsidRPr="009C02B5">
        <w:rPr>
          <w:lang w:val="en-US"/>
        </w:rPr>
        <w:t xml:space="preserve">the reports of the Office of the United Nations High Commissioner for Human Rights on </w:t>
      </w:r>
      <w:bookmarkStart w:id="5" w:name="_Hlk220512355"/>
      <w:r w:rsidR="00714D9D" w:rsidRPr="009C02B5">
        <w:rPr>
          <w:lang w:val="en-US"/>
        </w:rPr>
        <w:t xml:space="preserve">rights of persons with disabilities and digital technologies and devices, including assistive technologies </w:t>
      </w:r>
      <w:bookmarkEnd w:id="5"/>
      <w:r w:rsidR="0037708F" w:rsidRPr="009C02B5">
        <w:rPr>
          <w:rStyle w:val="FootnoteReference"/>
          <w:lang w:val="en-US"/>
        </w:rPr>
        <w:footnoteReference w:id="4"/>
      </w:r>
      <w:r w:rsidR="005C1D6D" w:rsidRPr="009C02B5">
        <w:rPr>
          <w:lang w:val="en-US"/>
        </w:rPr>
        <w:t xml:space="preserve"> and on </w:t>
      </w:r>
      <w:bookmarkStart w:id="8" w:name="_Hlk220512369"/>
      <w:r w:rsidR="00714D9D" w:rsidRPr="009C02B5">
        <w:rPr>
          <w:lang w:val="en-US"/>
        </w:rPr>
        <w:t>disability-inclusive infrastructure, including transport and housing</w:t>
      </w:r>
      <w:bookmarkEnd w:id="8"/>
      <w:r w:rsidR="005C1D6D" w:rsidRPr="009C02B5">
        <w:rPr>
          <w:lang w:val="en-US"/>
        </w:rPr>
        <w:t>,</w:t>
      </w:r>
      <w:r w:rsidR="0037708F" w:rsidRPr="009C02B5">
        <w:rPr>
          <w:rStyle w:val="FootnoteReference"/>
          <w:lang w:val="en-US"/>
        </w:rPr>
        <w:footnoteReference w:id="5"/>
      </w:r>
      <w:r w:rsidR="005C1D6D" w:rsidRPr="009C02B5">
        <w:rPr>
          <w:lang w:val="en-US"/>
        </w:rPr>
        <w:t xml:space="preserve"> and calls upon all stakeholders to consider the findings and recommendations made in those </w:t>
      </w:r>
      <w:r w:rsidR="00C13C9F" w:rsidRPr="009C02B5">
        <w:rPr>
          <w:lang w:val="en-US"/>
        </w:rPr>
        <w:t>reports</w:t>
      </w:r>
      <w:r w:rsidR="005C1D6D" w:rsidRPr="009C02B5">
        <w:rPr>
          <w:lang w:val="en-US"/>
        </w:rPr>
        <w:t xml:space="preserve"> with a view to implementing </w:t>
      </w:r>
      <w:proofErr w:type="gramStart"/>
      <w:r w:rsidR="005C1D6D" w:rsidRPr="009C02B5">
        <w:rPr>
          <w:lang w:val="en-US"/>
        </w:rPr>
        <w:t>them;</w:t>
      </w:r>
      <w:proofErr w:type="gramEnd"/>
    </w:p>
    <w:p w14:paraId="0A5E2876" w14:textId="050AEB0E" w:rsidR="005C1D6D" w:rsidRPr="009C02B5" w:rsidRDefault="0037708F" w:rsidP="00FE2DBD">
      <w:pPr>
        <w:pStyle w:val="SingleTxtG"/>
        <w:spacing w:line="236" w:lineRule="atLeast"/>
        <w:rPr>
          <w:lang w:val="en-US"/>
        </w:rPr>
      </w:pPr>
      <w:r w:rsidRPr="009C02B5">
        <w:rPr>
          <w:lang w:val="en-US"/>
        </w:rPr>
        <w:tab/>
      </w:r>
      <w:r w:rsidRPr="009C02B5">
        <w:rPr>
          <w:lang w:val="en-US"/>
        </w:rPr>
        <w:tab/>
      </w:r>
      <w:r w:rsidR="005C1D6D" w:rsidRPr="009C02B5">
        <w:rPr>
          <w:lang w:val="en-US"/>
        </w:rPr>
        <w:t>4.</w:t>
      </w:r>
      <w:r w:rsidR="005C1D6D" w:rsidRPr="009C02B5">
        <w:rPr>
          <w:lang w:val="en-US"/>
        </w:rPr>
        <w:tab/>
      </w:r>
      <w:r w:rsidR="005C1D6D" w:rsidRPr="009C02B5">
        <w:rPr>
          <w:i/>
          <w:lang w:val="en-US"/>
        </w:rPr>
        <w:t>Calls</w:t>
      </w:r>
      <w:r w:rsidR="005C1D6D" w:rsidRPr="009C02B5">
        <w:rPr>
          <w:lang w:val="en-US"/>
        </w:rPr>
        <w:t xml:space="preserve"> </w:t>
      </w:r>
      <w:r w:rsidR="005C1D6D" w:rsidRPr="009C02B5">
        <w:rPr>
          <w:i/>
          <w:lang w:val="en-US"/>
        </w:rPr>
        <w:t>upon</w:t>
      </w:r>
      <w:r w:rsidR="005C1D6D" w:rsidRPr="009C02B5">
        <w:rPr>
          <w:lang w:val="en-US"/>
        </w:rPr>
        <w:t xml:space="preserve"> all States to take appropriate measures to </w:t>
      </w:r>
      <w:r w:rsidR="00385A8C" w:rsidRPr="009C02B5">
        <w:rPr>
          <w:lang w:val="en-US"/>
        </w:rPr>
        <w:t>ensure access to affordable and accessible digital technologies and devices, including quality assistive technologies, as well as accessible infrastructure, including transport and housing, so as to guarantee the full enjoyment of all human rights and fundamental freedoms by persons with disabilities</w:t>
      </w:r>
      <w:r w:rsidR="009A5B92" w:rsidRPr="009C02B5">
        <w:rPr>
          <w:lang w:val="en-US"/>
        </w:rPr>
        <w:t xml:space="preserve"> and </w:t>
      </w:r>
      <w:r w:rsidR="005C1D6D" w:rsidRPr="009C02B5">
        <w:rPr>
          <w:lang w:val="en-US"/>
        </w:rPr>
        <w:t xml:space="preserve">ensure community inclusion of persons with disabilities, on an equal basis with others and without discrimination, applying an approach that is gender-responsive and age-sensitive, </w:t>
      </w:r>
      <w:r w:rsidR="00C13C9F" w:rsidRPr="009C02B5">
        <w:rPr>
          <w:lang w:val="en-US"/>
        </w:rPr>
        <w:t xml:space="preserve">by, </w:t>
      </w:r>
      <w:r w:rsidR="005C1D6D" w:rsidRPr="009C02B5">
        <w:rPr>
          <w:lang w:val="en-US"/>
        </w:rPr>
        <w:t>for example:</w:t>
      </w:r>
    </w:p>
    <w:p w14:paraId="268967CC" w14:textId="016387C3" w:rsidR="007B08D7" w:rsidRPr="009C02B5" w:rsidRDefault="007B08D7" w:rsidP="00A369E4">
      <w:pPr>
        <w:pStyle w:val="SingleTxtG"/>
        <w:spacing w:line="236" w:lineRule="atLeast"/>
        <w:ind w:firstLine="567"/>
        <w:rPr>
          <w:lang w:val="en-US"/>
        </w:rPr>
      </w:pPr>
      <w:r w:rsidRPr="009C02B5">
        <w:rPr>
          <w:lang w:val="en-US"/>
        </w:rPr>
        <w:t xml:space="preserve">(a) </w:t>
      </w:r>
      <w:r w:rsidR="00911CEB" w:rsidRPr="009C02B5">
        <w:rPr>
          <w:lang w:val="en-US"/>
        </w:rPr>
        <w:t xml:space="preserve">Through </w:t>
      </w:r>
      <w:r w:rsidR="00FA6045" w:rsidRPr="009C02B5">
        <w:rPr>
          <w:lang w:val="en-US"/>
        </w:rPr>
        <w:t>close consultation</w:t>
      </w:r>
      <w:r w:rsidR="00D920BE" w:rsidRPr="009C02B5">
        <w:rPr>
          <w:lang w:val="en-US"/>
        </w:rPr>
        <w:t>s</w:t>
      </w:r>
      <w:r w:rsidR="00FA6045" w:rsidRPr="009C02B5">
        <w:rPr>
          <w:lang w:val="en-US"/>
        </w:rPr>
        <w:t xml:space="preserve"> with and active involvement of persons with disabilities, including through their representative organizations in all </w:t>
      </w:r>
      <w:r w:rsidR="003A7ADB" w:rsidRPr="009C02B5">
        <w:rPr>
          <w:lang w:val="en-US"/>
        </w:rPr>
        <w:t xml:space="preserve">design and </w:t>
      </w:r>
      <w:r w:rsidR="00FA6045" w:rsidRPr="009C02B5">
        <w:rPr>
          <w:lang w:val="en-US"/>
        </w:rPr>
        <w:t xml:space="preserve">decision-making processes related to infrastructure, including housing and transport, as well as digital technologies, including assistive </w:t>
      </w:r>
      <w:proofErr w:type="gramStart"/>
      <w:r w:rsidR="00FA6045" w:rsidRPr="009C02B5">
        <w:rPr>
          <w:lang w:val="en-US"/>
        </w:rPr>
        <w:t>technologies</w:t>
      </w:r>
      <w:r w:rsidRPr="009C02B5">
        <w:rPr>
          <w:lang w:val="en-US"/>
        </w:rPr>
        <w:t>;</w:t>
      </w:r>
      <w:proofErr w:type="gramEnd"/>
    </w:p>
    <w:p w14:paraId="38510571" w14:textId="2F4FD4AF" w:rsidR="00A369E4" w:rsidRPr="009C02B5" w:rsidRDefault="00A369E4" w:rsidP="005776BD">
      <w:pPr>
        <w:pStyle w:val="SingleTxtG"/>
        <w:spacing w:line="236" w:lineRule="atLeast"/>
        <w:ind w:firstLine="567"/>
        <w:rPr>
          <w:lang w:val="en-US"/>
        </w:rPr>
      </w:pPr>
      <w:r w:rsidRPr="009C02B5">
        <w:rPr>
          <w:lang w:val="en-US"/>
        </w:rPr>
        <w:t>(</w:t>
      </w:r>
      <w:r w:rsidR="007B08D7" w:rsidRPr="009C02B5">
        <w:rPr>
          <w:lang w:val="en-US"/>
        </w:rPr>
        <w:t>b</w:t>
      </w:r>
      <w:r w:rsidRPr="009C02B5">
        <w:rPr>
          <w:lang w:val="en-US"/>
        </w:rPr>
        <w:t>) Adopting accessibility standards</w:t>
      </w:r>
      <w:r w:rsidR="0040318C" w:rsidRPr="009C02B5">
        <w:rPr>
          <w:lang w:val="en-US"/>
        </w:rPr>
        <w:t xml:space="preserve">, including universal design, </w:t>
      </w:r>
      <w:r w:rsidR="00072A3E" w:rsidRPr="009C02B5">
        <w:rPr>
          <w:lang w:val="en-US"/>
        </w:rPr>
        <w:t xml:space="preserve">with timelines and oversight mechanisms </w:t>
      </w:r>
      <w:r w:rsidRPr="009C02B5">
        <w:rPr>
          <w:lang w:val="en-US"/>
        </w:rPr>
        <w:t>for transport</w:t>
      </w:r>
      <w:r w:rsidR="00197563" w:rsidRPr="009C02B5">
        <w:rPr>
          <w:lang w:val="en-US"/>
        </w:rPr>
        <w:t xml:space="preserve"> and</w:t>
      </w:r>
      <w:r w:rsidR="008D11B5" w:rsidRPr="009C02B5">
        <w:rPr>
          <w:lang w:val="en-US"/>
        </w:rPr>
        <w:t xml:space="preserve"> </w:t>
      </w:r>
      <w:r w:rsidRPr="009C02B5">
        <w:rPr>
          <w:lang w:val="en-US"/>
        </w:rPr>
        <w:t>housing</w:t>
      </w:r>
      <w:r w:rsidR="008D11B5" w:rsidRPr="009C02B5">
        <w:rPr>
          <w:lang w:val="en-US"/>
        </w:rPr>
        <w:t xml:space="preserve"> </w:t>
      </w:r>
      <w:r w:rsidRPr="009C02B5">
        <w:rPr>
          <w:lang w:val="en-US"/>
        </w:rPr>
        <w:t>that are fully aligned with international human rights obligations</w:t>
      </w:r>
      <w:r w:rsidR="0040318C" w:rsidRPr="009C02B5">
        <w:rPr>
          <w:lang w:val="en-US"/>
        </w:rPr>
        <w:t>, consistent with</w:t>
      </w:r>
      <w:r w:rsidRPr="009C02B5">
        <w:rPr>
          <w:lang w:val="en-US"/>
        </w:rPr>
        <w:t xml:space="preserve"> the Convention of the Rights of Persons with </w:t>
      </w:r>
      <w:proofErr w:type="gramStart"/>
      <w:r w:rsidRPr="009C02B5">
        <w:rPr>
          <w:lang w:val="en-US"/>
        </w:rPr>
        <w:t>Disabilities;</w:t>
      </w:r>
      <w:proofErr w:type="gramEnd"/>
      <w:r w:rsidRPr="009C02B5">
        <w:rPr>
          <w:lang w:val="en-US"/>
        </w:rPr>
        <w:t xml:space="preserve"> </w:t>
      </w:r>
    </w:p>
    <w:p w14:paraId="57C350A4" w14:textId="4E8FCA57" w:rsidR="001A28CD" w:rsidRPr="009C02B5" w:rsidRDefault="001A28CD" w:rsidP="001A28CD">
      <w:pPr>
        <w:pStyle w:val="SingleTxtG"/>
        <w:spacing w:line="236" w:lineRule="atLeast"/>
        <w:ind w:firstLine="567"/>
        <w:rPr>
          <w:lang w:val="en-US"/>
        </w:rPr>
      </w:pPr>
      <w:r w:rsidRPr="009C02B5">
        <w:rPr>
          <w:lang w:val="en-US"/>
        </w:rPr>
        <w:t xml:space="preserve">(c) </w:t>
      </w:r>
      <w:r w:rsidR="00197563" w:rsidRPr="009C02B5">
        <w:rPr>
          <w:lang w:val="en-US"/>
        </w:rPr>
        <w:t>Duly c</w:t>
      </w:r>
      <w:r w:rsidRPr="009C02B5">
        <w:rPr>
          <w:lang w:val="en-US"/>
        </w:rPr>
        <w:t>onsidering disability-related recommendations made by international human rights mechanisms, including by human rights treaty bodies and the universal periodic review, related to national transport, housing</w:t>
      </w:r>
      <w:r w:rsidR="00BC716A" w:rsidRPr="009C02B5">
        <w:rPr>
          <w:lang w:val="en-US"/>
        </w:rPr>
        <w:t xml:space="preserve"> and</w:t>
      </w:r>
      <w:r w:rsidRPr="009C02B5">
        <w:rPr>
          <w:lang w:val="en-US"/>
        </w:rPr>
        <w:t xml:space="preserve"> infrastructure </w:t>
      </w:r>
      <w:proofErr w:type="gramStart"/>
      <w:r w:rsidRPr="009C02B5">
        <w:rPr>
          <w:lang w:val="en-US"/>
        </w:rPr>
        <w:t>planning;</w:t>
      </w:r>
      <w:proofErr w:type="gramEnd"/>
      <w:r w:rsidRPr="009C02B5">
        <w:rPr>
          <w:lang w:val="en-US"/>
        </w:rPr>
        <w:t xml:space="preserve"> </w:t>
      </w:r>
    </w:p>
    <w:p w14:paraId="174A96F8" w14:textId="0D1E53D8" w:rsidR="00A369E4" w:rsidRPr="009C02B5" w:rsidRDefault="00A369E4" w:rsidP="005776BD">
      <w:pPr>
        <w:pStyle w:val="SingleTxtG"/>
        <w:spacing w:line="236" w:lineRule="atLeast"/>
        <w:ind w:firstLine="567"/>
        <w:rPr>
          <w:lang w:val="en-US"/>
        </w:rPr>
      </w:pPr>
      <w:r w:rsidRPr="009C02B5">
        <w:rPr>
          <w:lang w:val="en-US"/>
        </w:rPr>
        <w:t>(</w:t>
      </w:r>
      <w:r w:rsidR="001A28CD" w:rsidRPr="009C02B5">
        <w:rPr>
          <w:lang w:val="en-US"/>
        </w:rPr>
        <w:t>d</w:t>
      </w:r>
      <w:r w:rsidRPr="009C02B5">
        <w:rPr>
          <w:lang w:val="en-US"/>
        </w:rPr>
        <w:t>) Tak</w:t>
      </w:r>
      <w:r w:rsidR="004E0FDC" w:rsidRPr="009C02B5">
        <w:rPr>
          <w:lang w:val="en-US"/>
        </w:rPr>
        <w:t>ing</w:t>
      </w:r>
      <w:r w:rsidR="00A41F26" w:rsidRPr="009C02B5">
        <w:rPr>
          <w:lang w:val="en-US"/>
        </w:rPr>
        <w:t xml:space="preserve"> measures,</w:t>
      </w:r>
      <w:r w:rsidR="0006126B" w:rsidRPr="009C02B5">
        <w:rPr>
          <w:lang w:val="en-US"/>
        </w:rPr>
        <w:t xml:space="preserve"> such as</w:t>
      </w:r>
      <w:r w:rsidR="00A41F26" w:rsidRPr="009C02B5">
        <w:rPr>
          <w:lang w:val="en-US"/>
        </w:rPr>
        <w:t xml:space="preserve"> </w:t>
      </w:r>
      <w:r w:rsidRPr="009C02B5">
        <w:rPr>
          <w:lang w:val="en-US"/>
        </w:rPr>
        <w:t>legislative, administrative and other measures</w:t>
      </w:r>
      <w:r w:rsidR="00F85A5B" w:rsidRPr="009C02B5">
        <w:rPr>
          <w:lang w:val="en-US"/>
        </w:rPr>
        <w:t>,</w:t>
      </w:r>
      <w:r w:rsidRPr="009C02B5">
        <w:rPr>
          <w:lang w:val="en-US"/>
        </w:rPr>
        <w:t xml:space="preserve"> to address stigmatization and discrimination of persons with disabilities in transport and housing</w:t>
      </w:r>
      <w:r w:rsidR="008A0A20" w:rsidRPr="009C02B5">
        <w:rPr>
          <w:lang w:val="en-US"/>
        </w:rPr>
        <w:t xml:space="preserve">, including </w:t>
      </w:r>
      <w:r w:rsidR="00687F3E" w:rsidRPr="009C02B5">
        <w:rPr>
          <w:lang w:val="en-US"/>
        </w:rPr>
        <w:t xml:space="preserve">capacity development </w:t>
      </w:r>
      <w:r w:rsidR="008A0A20" w:rsidRPr="009C02B5">
        <w:rPr>
          <w:lang w:val="en-US"/>
        </w:rPr>
        <w:t xml:space="preserve">for public officials, transport staff and housing </w:t>
      </w:r>
      <w:proofErr w:type="gramStart"/>
      <w:r w:rsidR="008A0A20" w:rsidRPr="009C02B5">
        <w:rPr>
          <w:lang w:val="en-US"/>
        </w:rPr>
        <w:t>providers</w:t>
      </w:r>
      <w:r w:rsidRPr="009C02B5">
        <w:rPr>
          <w:lang w:val="en-US"/>
        </w:rPr>
        <w:t>;</w:t>
      </w:r>
      <w:proofErr w:type="gramEnd"/>
      <w:r w:rsidRPr="009C02B5">
        <w:rPr>
          <w:lang w:val="en-US"/>
        </w:rPr>
        <w:t xml:space="preserve"> </w:t>
      </w:r>
    </w:p>
    <w:p w14:paraId="238E768C" w14:textId="41004C87" w:rsidR="00A369E4" w:rsidRPr="009C02B5" w:rsidRDefault="00A369E4" w:rsidP="005776BD">
      <w:pPr>
        <w:pStyle w:val="SingleTxtG"/>
        <w:spacing w:line="236" w:lineRule="atLeast"/>
        <w:ind w:firstLine="567"/>
        <w:rPr>
          <w:lang w:val="en-US"/>
        </w:rPr>
      </w:pPr>
      <w:r w:rsidRPr="009C02B5">
        <w:rPr>
          <w:lang w:val="en-US"/>
        </w:rPr>
        <w:t>(</w:t>
      </w:r>
      <w:r w:rsidR="001A28CD" w:rsidRPr="009C02B5">
        <w:rPr>
          <w:lang w:val="en-US"/>
        </w:rPr>
        <w:t>e</w:t>
      </w:r>
      <w:r w:rsidRPr="009C02B5">
        <w:rPr>
          <w:lang w:val="en-US"/>
        </w:rPr>
        <w:t>) T</w:t>
      </w:r>
      <w:r w:rsidR="00896490" w:rsidRPr="009C02B5">
        <w:rPr>
          <w:lang w:val="en-US"/>
        </w:rPr>
        <w:t xml:space="preserve">aking </w:t>
      </w:r>
      <w:r w:rsidRPr="009C02B5">
        <w:rPr>
          <w:lang w:val="en-US"/>
        </w:rPr>
        <w:t>steps</w:t>
      </w:r>
      <w:r w:rsidR="00C86126" w:rsidRPr="009C02B5">
        <w:rPr>
          <w:lang w:val="en-US"/>
        </w:rPr>
        <w:t xml:space="preserve"> </w:t>
      </w:r>
      <w:r w:rsidR="00595C28" w:rsidRPr="009C02B5">
        <w:rPr>
          <w:lang w:val="en-US"/>
        </w:rPr>
        <w:t xml:space="preserve">towards </w:t>
      </w:r>
      <w:r w:rsidRPr="009C02B5">
        <w:rPr>
          <w:lang w:val="en-US"/>
        </w:rPr>
        <w:t>transport systems</w:t>
      </w:r>
      <w:r w:rsidR="00595C28" w:rsidRPr="009C02B5">
        <w:rPr>
          <w:lang w:val="en-US"/>
        </w:rPr>
        <w:t xml:space="preserve"> that</w:t>
      </w:r>
      <w:r w:rsidRPr="009C02B5">
        <w:rPr>
          <w:lang w:val="en-US"/>
        </w:rPr>
        <w:t xml:space="preserve"> are accessible for all persons with disabilities, including in rural areas</w:t>
      </w:r>
      <w:r w:rsidR="00EE2867" w:rsidRPr="009C02B5">
        <w:rPr>
          <w:lang w:val="en-US"/>
        </w:rPr>
        <w:t xml:space="preserve">, through </w:t>
      </w:r>
      <w:r w:rsidRPr="009C02B5">
        <w:rPr>
          <w:lang w:val="en-US"/>
        </w:rPr>
        <w:t>investment in adapted vehicles, accessible stations and ticketing systems</w:t>
      </w:r>
      <w:r w:rsidR="008443AF" w:rsidRPr="009C02B5">
        <w:rPr>
          <w:lang w:val="en-US"/>
        </w:rPr>
        <w:t xml:space="preserve">, </w:t>
      </w:r>
      <w:r w:rsidR="007A651E" w:rsidRPr="009C02B5">
        <w:rPr>
          <w:lang w:val="en-US"/>
        </w:rPr>
        <w:t xml:space="preserve">as well as </w:t>
      </w:r>
      <w:r w:rsidR="008443AF" w:rsidRPr="009C02B5">
        <w:rPr>
          <w:lang w:val="en-US"/>
        </w:rPr>
        <w:t xml:space="preserve">paratransit, on-demand and door-to-door </w:t>
      </w:r>
      <w:proofErr w:type="gramStart"/>
      <w:r w:rsidR="008443AF" w:rsidRPr="009C02B5">
        <w:rPr>
          <w:lang w:val="en-US"/>
        </w:rPr>
        <w:t>services</w:t>
      </w:r>
      <w:r w:rsidRPr="009C02B5">
        <w:rPr>
          <w:lang w:val="en-US"/>
        </w:rPr>
        <w:t>;</w:t>
      </w:r>
      <w:proofErr w:type="gramEnd"/>
      <w:r w:rsidRPr="009C02B5">
        <w:rPr>
          <w:lang w:val="en-US"/>
        </w:rPr>
        <w:t xml:space="preserve"> </w:t>
      </w:r>
    </w:p>
    <w:p w14:paraId="2BD3ABBC" w14:textId="4D0A3C42" w:rsidR="00A369E4" w:rsidRPr="009C02B5" w:rsidRDefault="00A369E4" w:rsidP="005776BD">
      <w:pPr>
        <w:pStyle w:val="SingleTxtG"/>
        <w:spacing w:line="236" w:lineRule="atLeast"/>
        <w:ind w:firstLine="567"/>
        <w:rPr>
          <w:lang w:val="en-US"/>
        </w:rPr>
      </w:pPr>
      <w:r w:rsidRPr="009C02B5">
        <w:rPr>
          <w:lang w:val="en-US"/>
        </w:rPr>
        <w:t>(</w:t>
      </w:r>
      <w:r w:rsidR="00B91254" w:rsidRPr="009C02B5">
        <w:rPr>
          <w:lang w:val="en-US"/>
        </w:rPr>
        <w:t>f</w:t>
      </w:r>
      <w:r w:rsidRPr="009C02B5">
        <w:rPr>
          <w:lang w:val="en-US"/>
        </w:rPr>
        <w:t xml:space="preserve">) </w:t>
      </w:r>
      <w:r w:rsidR="00302856" w:rsidRPr="009C02B5">
        <w:rPr>
          <w:lang w:val="en-US"/>
        </w:rPr>
        <w:t>I</w:t>
      </w:r>
      <w:r w:rsidRPr="009C02B5">
        <w:rPr>
          <w:lang w:val="en-US"/>
        </w:rPr>
        <w:t>ntegrat</w:t>
      </w:r>
      <w:r w:rsidR="00302856" w:rsidRPr="009C02B5">
        <w:rPr>
          <w:lang w:val="en-US"/>
        </w:rPr>
        <w:t>ing</w:t>
      </w:r>
      <w:r w:rsidRPr="009C02B5">
        <w:rPr>
          <w:lang w:val="en-US"/>
        </w:rPr>
        <w:t xml:space="preserve"> disability-inclusive infrastructure</w:t>
      </w:r>
      <w:r w:rsidR="00FD5856" w:rsidRPr="009C02B5">
        <w:rPr>
          <w:lang w:val="en-US"/>
        </w:rPr>
        <w:t xml:space="preserve"> that is gender- and age- responsive</w:t>
      </w:r>
      <w:r w:rsidRPr="009C02B5">
        <w:rPr>
          <w:lang w:val="en-US"/>
        </w:rPr>
        <w:t xml:space="preserve"> into national </w:t>
      </w:r>
      <w:r w:rsidR="00633E11" w:rsidRPr="009C02B5">
        <w:rPr>
          <w:lang w:val="en-US"/>
        </w:rPr>
        <w:t xml:space="preserve">development plans, </w:t>
      </w:r>
      <w:r w:rsidRPr="009C02B5">
        <w:rPr>
          <w:lang w:val="en-US"/>
        </w:rPr>
        <w:t>policies and budgets, international cooperation and financing for development</w:t>
      </w:r>
      <w:r w:rsidR="00284A2C" w:rsidRPr="009C02B5">
        <w:rPr>
          <w:lang w:val="en-US"/>
        </w:rPr>
        <w:t xml:space="preserve">, where </w:t>
      </w:r>
      <w:proofErr w:type="gramStart"/>
      <w:r w:rsidR="00284A2C" w:rsidRPr="009C02B5">
        <w:rPr>
          <w:lang w:val="en-US"/>
        </w:rPr>
        <w:t>appropriate</w:t>
      </w:r>
      <w:r w:rsidRPr="009C02B5">
        <w:rPr>
          <w:lang w:val="en-US"/>
        </w:rPr>
        <w:t>;</w:t>
      </w:r>
      <w:proofErr w:type="gramEnd"/>
      <w:r w:rsidRPr="009C02B5">
        <w:rPr>
          <w:lang w:val="en-US"/>
        </w:rPr>
        <w:t xml:space="preserve"> </w:t>
      </w:r>
    </w:p>
    <w:p w14:paraId="0A87A37B" w14:textId="7A26EE02" w:rsidR="00CB5FF7" w:rsidRPr="009C02B5" w:rsidRDefault="000F687E" w:rsidP="00CB5FF7">
      <w:pPr>
        <w:pStyle w:val="SingleTxtG"/>
        <w:spacing w:line="236" w:lineRule="atLeast"/>
        <w:ind w:firstLine="567"/>
        <w:rPr>
          <w:lang w:val="en-US"/>
        </w:rPr>
      </w:pPr>
      <w:r w:rsidRPr="009C02B5">
        <w:rPr>
          <w:lang w:val="en-US"/>
        </w:rPr>
        <w:t>(g</w:t>
      </w:r>
      <w:r w:rsidR="00CB5FF7" w:rsidRPr="009C02B5">
        <w:rPr>
          <w:lang w:val="en-US"/>
        </w:rPr>
        <w:t>) Prohibiting all forms of discrimination</w:t>
      </w:r>
      <w:r w:rsidR="00D23FC9" w:rsidRPr="00D23FC9">
        <w:rPr>
          <w:lang w:val="en-US"/>
        </w:rPr>
        <w:t xml:space="preserve"> </w:t>
      </w:r>
      <w:r w:rsidR="00CB5FF7" w:rsidRPr="009C02B5">
        <w:rPr>
          <w:lang w:val="en-US"/>
        </w:rPr>
        <w:t xml:space="preserve">against persons with disabilities, in the context of adequate housing as a component of the right to an adequate standard of living by public and private </w:t>
      </w:r>
      <w:proofErr w:type="gramStart"/>
      <w:r w:rsidR="00CB5FF7" w:rsidRPr="009C02B5">
        <w:rPr>
          <w:lang w:val="en-US"/>
        </w:rPr>
        <w:t>entities;</w:t>
      </w:r>
      <w:proofErr w:type="gramEnd"/>
    </w:p>
    <w:p w14:paraId="7270097C" w14:textId="4D05DC41" w:rsidR="00A369E4" w:rsidRPr="009C02B5" w:rsidRDefault="00A369E4">
      <w:pPr>
        <w:pStyle w:val="SingleTxtG"/>
        <w:spacing w:line="236" w:lineRule="atLeast"/>
        <w:ind w:firstLine="567"/>
        <w:rPr>
          <w:lang w:val="en-US"/>
        </w:rPr>
      </w:pPr>
      <w:r w:rsidRPr="009C02B5">
        <w:rPr>
          <w:lang w:val="en-US"/>
        </w:rPr>
        <w:t>(</w:t>
      </w:r>
      <w:r w:rsidR="000F687E" w:rsidRPr="009C02B5">
        <w:rPr>
          <w:lang w:val="en-US"/>
        </w:rPr>
        <w:t>h</w:t>
      </w:r>
      <w:r w:rsidRPr="009C02B5">
        <w:rPr>
          <w:lang w:val="en-US"/>
        </w:rPr>
        <w:t xml:space="preserve">) </w:t>
      </w:r>
      <w:r w:rsidR="00284A2C" w:rsidRPr="009C02B5">
        <w:rPr>
          <w:lang w:val="en-US"/>
        </w:rPr>
        <w:t>Leveraging</w:t>
      </w:r>
      <w:r w:rsidRPr="009C02B5">
        <w:rPr>
          <w:lang w:val="en-US"/>
        </w:rPr>
        <w:t xml:space="preserve"> digital and assistive technologies to enhance accessibility and service delivery across transport and housing infrastructure, ensuring that all digital systems are accessible, affordable and compliant with </w:t>
      </w:r>
      <w:r w:rsidR="00407C77" w:rsidRPr="009C02B5">
        <w:rPr>
          <w:lang w:val="en-US"/>
        </w:rPr>
        <w:t xml:space="preserve">international </w:t>
      </w:r>
      <w:r w:rsidRPr="009C02B5">
        <w:rPr>
          <w:lang w:val="en-US"/>
        </w:rPr>
        <w:t xml:space="preserve">human rights </w:t>
      </w:r>
      <w:r w:rsidR="00407C77" w:rsidRPr="009C02B5">
        <w:rPr>
          <w:lang w:val="en-US"/>
        </w:rPr>
        <w:t xml:space="preserve">law and </w:t>
      </w:r>
      <w:proofErr w:type="gramStart"/>
      <w:r w:rsidRPr="009C02B5">
        <w:rPr>
          <w:lang w:val="en-US"/>
        </w:rPr>
        <w:t>standards;</w:t>
      </w:r>
      <w:proofErr w:type="gramEnd"/>
      <w:r w:rsidRPr="009C02B5">
        <w:rPr>
          <w:lang w:val="en-US"/>
        </w:rPr>
        <w:t xml:space="preserve"> </w:t>
      </w:r>
    </w:p>
    <w:p w14:paraId="35D71C5A" w14:textId="51EA11D7" w:rsidR="00777C3B" w:rsidRPr="009C02B5" w:rsidRDefault="00777C3B">
      <w:pPr>
        <w:pStyle w:val="SingleTxtG"/>
        <w:spacing w:line="236" w:lineRule="atLeast"/>
        <w:ind w:firstLine="567"/>
        <w:rPr>
          <w:lang w:val="en-US"/>
        </w:rPr>
      </w:pPr>
      <w:r w:rsidRPr="009C02B5">
        <w:rPr>
          <w:lang w:val="en-US"/>
        </w:rPr>
        <w:t>(</w:t>
      </w:r>
      <w:r w:rsidR="000F687E" w:rsidRPr="009C02B5">
        <w:rPr>
          <w:lang w:val="en-US"/>
        </w:rPr>
        <w:t>i</w:t>
      </w:r>
      <w:r w:rsidRPr="009C02B5">
        <w:rPr>
          <w:lang w:val="en-US"/>
        </w:rPr>
        <w:t xml:space="preserve">) </w:t>
      </w:r>
      <w:r w:rsidR="00E54A77" w:rsidRPr="009C02B5">
        <w:rPr>
          <w:lang w:val="en-US"/>
        </w:rPr>
        <w:t>Encourag</w:t>
      </w:r>
      <w:r w:rsidR="00C64624" w:rsidRPr="009C02B5">
        <w:rPr>
          <w:lang w:val="en-US"/>
        </w:rPr>
        <w:t>ing</w:t>
      </w:r>
      <w:r w:rsidR="00E54A77" w:rsidRPr="009C02B5">
        <w:rPr>
          <w:lang w:val="en-US"/>
        </w:rPr>
        <w:t xml:space="preserve"> the establishment of </w:t>
      </w:r>
      <w:r w:rsidR="005D3243" w:rsidRPr="009C02B5">
        <w:rPr>
          <w:lang w:val="en-US"/>
        </w:rPr>
        <w:t>rights-</w:t>
      </w:r>
      <w:proofErr w:type="spellStart"/>
      <w:r w:rsidR="005D3243" w:rsidRPr="009C02B5">
        <w:rPr>
          <w:lang w:val="en-US"/>
        </w:rPr>
        <w:t>centred</w:t>
      </w:r>
      <w:proofErr w:type="spellEnd"/>
      <w:r w:rsidR="005D3243" w:rsidRPr="009C02B5">
        <w:rPr>
          <w:lang w:val="en-US"/>
        </w:rPr>
        <w:t xml:space="preserve"> e-governance frameworks </w:t>
      </w:r>
      <w:r w:rsidR="008149BA" w:rsidRPr="009C02B5">
        <w:rPr>
          <w:lang w:val="en-US"/>
        </w:rPr>
        <w:t xml:space="preserve">and regulation of digital technologies </w:t>
      </w:r>
      <w:r w:rsidR="005D3243" w:rsidRPr="009C02B5">
        <w:rPr>
          <w:lang w:val="en-US"/>
        </w:rPr>
        <w:t xml:space="preserve">that ensure accessibility, anti-discrimination measures and transparency in data management regarding </w:t>
      </w:r>
      <w:r w:rsidR="00C13DC9" w:rsidRPr="009C02B5">
        <w:rPr>
          <w:lang w:val="en-US"/>
        </w:rPr>
        <w:t xml:space="preserve">privacy </w:t>
      </w:r>
      <w:r w:rsidR="005D3243" w:rsidRPr="009C02B5">
        <w:rPr>
          <w:lang w:val="en-US"/>
        </w:rPr>
        <w:t>right</w:t>
      </w:r>
      <w:r w:rsidR="00C13DC9" w:rsidRPr="009C02B5">
        <w:rPr>
          <w:lang w:val="en-US"/>
        </w:rPr>
        <w:t>s</w:t>
      </w:r>
      <w:r w:rsidR="005D3243" w:rsidRPr="009C02B5">
        <w:rPr>
          <w:lang w:val="en-US"/>
        </w:rPr>
        <w:t xml:space="preserve"> and equality</w:t>
      </w:r>
      <w:r w:rsidR="00D97FFC" w:rsidRPr="009C02B5">
        <w:rPr>
          <w:lang w:val="en-US"/>
        </w:rPr>
        <w:t>, ensuring participation of persons with disabilities in policy co-</w:t>
      </w:r>
      <w:proofErr w:type="gramStart"/>
      <w:r w:rsidR="00D97FFC" w:rsidRPr="009C02B5">
        <w:rPr>
          <w:lang w:val="en-US"/>
        </w:rPr>
        <w:t>design</w:t>
      </w:r>
      <w:r w:rsidR="005D3243" w:rsidRPr="009C02B5">
        <w:rPr>
          <w:lang w:val="en-US"/>
        </w:rPr>
        <w:t>;</w:t>
      </w:r>
      <w:proofErr w:type="gramEnd"/>
    </w:p>
    <w:p w14:paraId="3B10B596" w14:textId="1CF58268" w:rsidR="00C16738" w:rsidRPr="009C02B5" w:rsidRDefault="00C16738">
      <w:pPr>
        <w:pStyle w:val="SingleTxtG"/>
        <w:spacing w:line="236" w:lineRule="atLeast"/>
        <w:ind w:firstLine="567"/>
        <w:rPr>
          <w:lang w:val="en-US"/>
        </w:rPr>
      </w:pPr>
      <w:r w:rsidRPr="009C02B5">
        <w:rPr>
          <w:lang w:val="en-US"/>
        </w:rPr>
        <w:t>(</w:t>
      </w:r>
      <w:r w:rsidR="000F687E" w:rsidRPr="009C02B5">
        <w:rPr>
          <w:lang w:val="en-US"/>
        </w:rPr>
        <w:t>j</w:t>
      </w:r>
      <w:r w:rsidRPr="009C02B5">
        <w:rPr>
          <w:lang w:val="en-US"/>
        </w:rPr>
        <w:t xml:space="preserve">) </w:t>
      </w:r>
      <w:r w:rsidR="000648A2" w:rsidRPr="009C02B5">
        <w:rPr>
          <w:lang w:val="en-US"/>
        </w:rPr>
        <w:t>Encourag</w:t>
      </w:r>
      <w:r w:rsidR="00C64624" w:rsidRPr="009C02B5">
        <w:rPr>
          <w:lang w:val="en-US"/>
        </w:rPr>
        <w:t>ing</w:t>
      </w:r>
      <w:r w:rsidR="000648A2" w:rsidRPr="009C02B5">
        <w:rPr>
          <w:lang w:val="en-US"/>
        </w:rPr>
        <w:t xml:space="preserve"> the implementation of </w:t>
      </w:r>
      <w:r w:rsidRPr="009C02B5">
        <w:rPr>
          <w:lang w:val="en-US"/>
        </w:rPr>
        <w:t>independent oversight bodies to monitor e-governance systems, including their use of artificial intelligence</w:t>
      </w:r>
      <w:r w:rsidR="00723953" w:rsidRPr="009C02B5">
        <w:rPr>
          <w:lang w:val="en-US"/>
        </w:rPr>
        <w:t>, and ens</w:t>
      </w:r>
      <w:r w:rsidR="005D4101" w:rsidRPr="009C02B5">
        <w:rPr>
          <w:lang w:val="en-US"/>
        </w:rPr>
        <w:t>u</w:t>
      </w:r>
      <w:r w:rsidR="00723953" w:rsidRPr="009C02B5">
        <w:rPr>
          <w:lang w:val="en-US"/>
        </w:rPr>
        <w:t>ring sufficient data protection and transparent data practices and align</w:t>
      </w:r>
      <w:r w:rsidR="009E44A6" w:rsidRPr="009C02B5">
        <w:rPr>
          <w:lang w:val="en-US"/>
        </w:rPr>
        <w:t>ing</w:t>
      </w:r>
      <w:r w:rsidR="00723953" w:rsidRPr="009C02B5">
        <w:rPr>
          <w:lang w:val="en-US"/>
        </w:rPr>
        <w:t xml:space="preserve"> digital platforms</w:t>
      </w:r>
      <w:r w:rsidR="009E44A6" w:rsidRPr="009C02B5">
        <w:rPr>
          <w:lang w:val="en-US"/>
        </w:rPr>
        <w:t xml:space="preserve"> with human rights </w:t>
      </w:r>
      <w:proofErr w:type="gramStart"/>
      <w:r w:rsidR="009E44A6" w:rsidRPr="009C02B5">
        <w:rPr>
          <w:lang w:val="en-US"/>
        </w:rPr>
        <w:t>law</w:t>
      </w:r>
      <w:r w:rsidR="004A7CF2" w:rsidRPr="009C02B5">
        <w:rPr>
          <w:lang w:val="en-US"/>
        </w:rPr>
        <w:t>;</w:t>
      </w:r>
      <w:proofErr w:type="gramEnd"/>
    </w:p>
    <w:p w14:paraId="480C75AB" w14:textId="0D7673D6" w:rsidR="009C0C7A" w:rsidRPr="009C02B5" w:rsidRDefault="00150EC1">
      <w:pPr>
        <w:pStyle w:val="SingleTxtG"/>
        <w:spacing w:line="236" w:lineRule="atLeast"/>
        <w:ind w:firstLine="567"/>
        <w:rPr>
          <w:lang w:val="en-US"/>
        </w:rPr>
      </w:pPr>
      <w:r w:rsidRPr="009C02B5">
        <w:rPr>
          <w:lang w:val="en-US"/>
        </w:rPr>
        <w:t>(</w:t>
      </w:r>
      <w:r w:rsidR="000F687E" w:rsidRPr="009C02B5">
        <w:rPr>
          <w:lang w:val="en-US"/>
        </w:rPr>
        <w:t>k</w:t>
      </w:r>
      <w:r w:rsidRPr="009C02B5">
        <w:rPr>
          <w:lang w:val="en-US"/>
        </w:rPr>
        <w:t xml:space="preserve">) Respecting the autonomy of persons with disabilities to have control over the support they receive, including through digital assistive </w:t>
      </w:r>
      <w:proofErr w:type="gramStart"/>
      <w:r w:rsidRPr="009C02B5">
        <w:rPr>
          <w:lang w:val="en-US"/>
        </w:rPr>
        <w:t>products;</w:t>
      </w:r>
      <w:proofErr w:type="gramEnd"/>
    </w:p>
    <w:p w14:paraId="1B7D0323" w14:textId="475FCEA6" w:rsidR="00150EC1" w:rsidRPr="009C02B5" w:rsidRDefault="00150EC1">
      <w:pPr>
        <w:pStyle w:val="SingleTxtG"/>
        <w:spacing w:line="236" w:lineRule="atLeast"/>
        <w:ind w:firstLine="567"/>
        <w:rPr>
          <w:lang w:val="en-US"/>
        </w:rPr>
      </w:pPr>
      <w:r w:rsidRPr="009C02B5">
        <w:rPr>
          <w:lang w:val="en-US"/>
        </w:rPr>
        <w:t>(</w:t>
      </w:r>
      <w:r w:rsidR="000F687E" w:rsidRPr="009C02B5">
        <w:rPr>
          <w:lang w:val="en-US"/>
        </w:rPr>
        <w:t>l</w:t>
      </w:r>
      <w:r w:rsidRPr="009C02B5">
        <w:rPr>
          <w:lang w:val="en-US"/>
        </w:rPr>
        <w:t>) Integrating assistive technologies into the design and budgets of care and support systems, addressing their limitations and benefits to enhance independence, access to environments and communication, and reduc</w:t>
      </w:r>
      <w:r w:rsidR="007955C6" w:rsidRPr="009C02B5">
        <w:rPr>
          <w:lang w:val="en-US"/>
        </w:rPr>
        <w:t>ing</w:t>
      </w:r>
      <w:r w:rsidRPr="009C02B5">
        <w:rPr>
          <w:lang w:val="en-US"/>
        </w:rPr>
        <w:t xml:space="preserve"> reliance on human support, particularly from women disproportionately involved in unpaid care and support </w:t>
      </w:r>
      <w:proofErr w:type="gramStart"/>
      <w:r w:rsidR="00897BB6" w:rsidRPr="009C02B5">
        <w:rPr>
          <w:lang w:val="en-US"/>
        </w:rPr>
        <w:t>work</w:t>
      </w:r>
      <w:r w:rsidRPr="009C02B5">
        <w:rPr>
          <w:lang w:val="en-US"/>
        </w:rPr>
        <w:t>;</w:t>
      </w:r>
      <w:proofErr w:type="gramEnd"/>
    </w:p>
    <w:p w14:paraId="6BC7FE62" w14:textId="7362A9C6" w:rsidR="00600CC6" w:rsidRPr="009C02B5" w:rsidRDefault="00C56941">
      <w:pPr>
        <w:pStyle w:val="SingleTxtG"/>
        <w:spacing w:line="236" w:lineRule="atLeast"/>
        <w:ind w:firstLine="567"/>
        <w:rPr>
          <w:lang w:val="en-US"/>
        </w:rPr>
      </w:pPr>
      <w:r w:rsidRPr="009C02B5">
        <w:rPr>
          <w:lang w:val="en-US"/>
        </w:rPr>
        <w:t>(</w:t>
      </w:r>
      <w:r w:rsidR="000F687E" w:rsidRPr="009C02B5">
        <w:rPr>
          <w:lang w:val="en-US"/>
        </w:rPr>
        <w:t>m</w:t>
      </w:r>
      <w:r w:rsidRPr="009C02B5">
        <w:rPr>
          <w:lang w:val="en-US"/>
        </w:rPr>
        <w:t xml:space="preserve">) </w:t>
      </w:r>
      <w:r w:rsidR="00FA0482" w:rsidRPr="009C02B5">
        <w:rPr>
          <w:lang w:val="en-US"/>
        </w:rPr>
        <w:t xml:space="preserve">Raising awareness by implementing targeted public education campaigns to bridge the knowledge gap on assistive technologies, partnering with organizations of persons with disabilities to leverage their digital platforms to broaden outreach, and empowering persons with disabilities to make informed choices, increase demand, and stimulate investment in accessible, affordable, and high-quality assistive </w:t>
      </w:r>
      <w:proofErr w:type="gramStart"/>
      <w:r w:rsidR="00FA0482" w:rsidRPr="009C02B5">
        <w:rPr>
          <w:lang w:val="en-US"/>
        </w:rPr>
        <w:t>products</w:t>
      </w:r>
      <w:r w:rsidR="005B7730" w:rsidRPr="009C02B5">
        <w:rPr>
          <w:lang w:val="en-US"/>
        </w:rPr>
        <w:t>;</w:t>
      </w:r>
      <w:proofErr w:type="gramEnd"/>
    </w:p>
    <w:p w14:paraId="1D7A386D" w14:textId="30DB440C" w:rsidR="00B91254" w:rsidRPr="009C02B5" w:rsidRDefault="00B91254">
      <w:pPr>
        <w:pStyle w:val="SingleTxtG"/>
        <w:spacing w:line="236" w:lineRule="atLeast"/>
        <w:ind w:firstLine="567"/>
        <w:rPr>
          <w:lang w:val="en-US"/>
        </w:rPr>
      </w:pPr>
      <w:proofErr w:type="gramStart"/>
      <w:r w:rsidRPr="009C02B5">
        <w:rPr>
          <w:lang w:val="en-US"/>
        </w:rPr>
        <w:t>(</w:t>
      </w:r>
      <w:r w:rsidR="000F687E" w:rsidRPr="009C02B5">
        <w:rPr>
          <w:lang w:val="en-US"/>
        </w:rPr>
        <w:t>n</w:t>
      </w:r>
      <w:r w:rsidRPr="009C02B5">
        <w:rPr>
          <w:lang w:val="en-US"/>
        </w:rPr>
        <w:t>) Exploring</w:t>
      </w:r>
      <w:proofErr w:type="gramEnd"/>
      <w:r w:rsidR="00FA0589" w:rsidRPr="009C02B5">
        <w:rPr>
          <w:lang w:val="en-US"/>
        </w:rPr>
        <w:t xml:space="preserve"> innovative</w:t>
      </w:r>
      <w:r w:rsidRPr="009C02B5">
        <w:rPr>
          <w:lang w:val="en-US"/>
        </w:rPr>
        <w:t xml:space="preserve">, </w:t>
      </w:r>
      <w:r w:rsidR="00DA30CB" w:rsidRPr="009C02B5">
        <w:rPr>
          <w:lang w:val="en-US"/>
        </w:rPr>
        <w:t>inclusive</w:t>
      </w:r>
      <w:r w:rsidR="00AC269F" w:rsidRPr="009C02B5">
        <w:rPr>
          <w:lang w:val="en-US"/>
        </w:rPr>
        <w:t xml:space="preserve"> and </w:t>
      </w:r>
      <w:r w:rsidRPr="009C02B5">
        <w:rPr>
          <w:lang w:val="en-US"/>
        </w:rPr>
        <w:t xml:space="preserve">practical </w:t>
      </w:r>
      <w:r w:rsidR="002F0BC7" w:rsidRPr="009C02B5">
        <w:rPr>
          <w:lang w:val="en-US"/>
        </w:rPr>
        <w:t xml:space="preserve">digital and assistive technologies </w:t>
      </w:r>
      <w:r w:rsidRPr="009C02B5">
        <w:rPr>
          <w:lang w:val="en-US"/>
        </w:rPr>
        <w:t xml:space="preserve">solutions, including through accessible digitalization of cultural heritage, </w:t>
      </w:r>
      <w:r w:rsidR="002F0BC7" w:rsidRPr="009C02B5">
        <w:rPr>
          <w:lang w:val="en-US"/>
        </w:rPr>
        <w:t>to</w:t>
      </w:r>
      <w:r w:rsidRPr="009C02B5">
        <w:rPr>
          <w:lang w:val="en-US"/>
        </w:rPr>
        <w:t xml:space="preserve"> guarantee </w:t>
      </w:r>
      <w:r w:rsidR="002F0BC7" w:rsidRPr="009C02B5">
        <w:rPr>
          <w:lang w:val="en-US"/>
        </w:rPr>
        <w:t xml:space="preserve">access and participation of </w:t>
      </w:r>
      <w:r w:rsidRPr="009C02B5">
        <w:rPr>
          <w:lang w:val="en-US"/>
        </w:rPr>
        <w:t>persons with disabilities</w:t>
      </w:r>
      <w:r w:rsidR="002F0BC7" w:rsidRPr="009C02B5">
        <w:rPr>
          <w:lang w:val="en-US"/>
        </w:rPr>
        <w:t xml:space="preserve"> in</w:t>
      </w:r>
      <w:r w:rsidRPr="009C02B5">
        <w:rPr>
          <w:lang w:val="en-US"/>
        </w:rPr>
        <w:t xml:space="preserve"> cultural life and heritage</w:t>
      </w:r>
      <w:r w:rsidR="00B42BC8" w:rsidRPr="009C02B5">
        <w:rPr>
          <w:lang w:val="en-US"/>
        </w:rPr>
        <w:t>, and for the protection and promotion of disability-specific culture</w:t>
      </w:r>
      <w:r w:rsidR="004F56A6" w:rsidRPr="009C02B5">
        <w:rPr>
          <w:lang w:val="en-US"/>
        </w:rPr>
        <w:t xml:space="preserve">, such as the collaborative approach followed by the Virtual Museum on Cultural </w:t>
      </w:r>
      <w:proofErr w:type="gramStart"/>
      <w:r w:rsidR="004F56A6" w:rsidRPr="009C02B5">
        <w:rPr>
          <w:lang w:val="en-US"/>
        </w:rPr>
        <w:t>Heritage</w:t>
      </w:r>
      <w:r w:rsidRPr="009C02B5">
        <w:rPr>
          <w:lang w:val="en-US"/>
        </w:rPr>
        <w:t>;</w:t>
      </w:r>
      <w:proofErr w:type="gramEnd"/>
      <w:r w:rsidRPr="009C02B5">
        <w:rPr>
          <w:lang w:val="en-US"/>
        </w:rPr>
        <w:t xml:space="preserve"> </w:t>
      </w:r>
    </w:p>
    <w:p w14:paraId="4F28D11B" w14:textId="236BE717" w:rsidR="00A369E4" w:rsidRPr="009C02B5" w:rsidRDefault="00A369E4" w:rsidP="005776BD">
      <w:pPr>
        <w:pStyle w:val="SingleTxtG"/>
        <w:spacing w:line="236" w:lineRule="atLeast"/>
        <w:ind w:firstLine="567"/>
        <w:rPr>
          <w:lang w:val="en-US"/>
        </w:rPr>
      </w:pPr>
      <w:proofErr w:type="gramStart"/>
      <w:r w:rsidRPr="009C02B5">
        <w:rPr>
          <w:lang w:val="en-US"/>
        </w:rPr>
        <w:t>(</w:t>
      </w:r>
      <w:r w:rsidR="000F687E" w:rsidRPr="009C02B5">
        <w:rPr>
          <w:lang w:val="en-US"/>
        </w:rPr>
        <w:t>o</w:t>
      </w:r>
      <w:r w:rsidRPr="009C02B5">
        <w:rPr>
          <w:lang w:val="en-US"/>
        </w:rPr>
        <w:t xml:space="preserve">) </w:t>
      </w:r>
      <w:r w:rsidR="00851BCD" w:rsidRPr="009C02B5">
        <w:rPr>
          <w:lang w:val="en-US"/>
        </w:rPr>
        <w:t>Encouraging</w:t>
      </w:r>
      <w:proofErr w:type="gramEnd"/>
      <w:r w:rsidR="00851BCD" w:rsidRPr="009C02B5">
        <w:rPr>
          <w:lang w:val="en-US"/>
        </w:rPr>
        <w:t xml:space="preserve"> </w:t>
      </w:r>
      <w:r w:rsidRPr="009C02B5">
        <w:rPr>
          <w:lang w:val="en-US"/>
        </w:rPr>
        <w:t xml:space="preserve">that </w:t>
      </w:r>
      <w:r w:rsidR="00124733" w:rsidRPr="009C02B5">
        <w:rPr>
          <w:lang w:val="en-US"/>
        </w:rPr>
        <w:t xml:space="preserve">technology companies and </w:t>
      </w:r>
      <w:r w:rsidRPr="009C02B5">
        <w:rPr>
          <w:lang w:val="en-US"/>
        </w:rPr>
        <w:t>public-private partnerships in transport, housing and digital infrastructure</w:t>
      </w:r>
      <w:r w:rsidR="00124733" w:rsidRPr="009C02B5">
        <w:rPr>
          <w:lang w:val="en-US"/>
        </w:rPr>
        <w:t xml:space="preserve"> </w:t>
      </w:r>
      <w:r w:rsidRPr="009C02B5">
        <w:rPr>
          <w:lang w:val="en-US"/>
        </w:rPr>
        <w:t>include accessibility, affordability</w:t>
      </w:r>
      <w:r w:rsidR="00FA0589" w:rsidRPr="009C02B5">
        <w:rPr>
          <w:lang w:val="en-US"/>
        </w:rPr>
        <w:t xml:space="preserve">, non-discrimination </w:t>
      </w:r>
      <w:r w:rsidRPr="009C02B5">
        <w:rPr>
          <w:lang w:val="en-US"/>
        </w:rPr>
        <w:t xml:space="preserve">and inclusion standards, in accordance with international human rights law and standards, including the Guiding Principles on Business and Human </w:t>
      </w:r>
      <w:proofErr w:type="gramStart"/>
      <w:r w:rsidRPr="009C02B5">
        <w:rPr>
          <w:lang w:val="en-US"/>
        </w:rPr>
        <w:t>Rights;</w:t>
      </w:r>
      <w:proofErr w:type="gramEnd"/>
    </w:p>
    <w:p w14:paraId="1A51D33C" w14:textId="49FE0DF4" w:rsidR="00DD7E54" w:rsidRPr="009C02B5" w:rsidRDefault="00A369E4" w:rsidP="005776BD">
      <w:pPr>
        <w:pStyle w:val="SingleTxtG"/>
        <w:spacing w:line="236" w:lineRule="atLeast"/>
        <w:ind w:firstLine="567"/>
        <w:rPr>
          <w:lang w:val="en-US"/>
        </w:rPr>
      </w:pPr>
      <w:r w:rsidRPr="009C02B5">
        <w:rPr>
          <w:lang w:val="en-US"/>
        </w:rPr>
        <w:t>(</w:t>
      </w:r>
      <w:r w:rsidR="000F687E" w:rsidRPr="009C02B5">
        <w:rPr>
          <w:lang w:val="en-US"/>
        </w:rPr>
        <w:t>p</w:t>
      </w:r>
      <w:r w:rsidRPr="009C02B5">
        <w:rPr>
          <w:lang w:val="en-US"/>
        </w:rPr>
        <w:t xml:space="preserve">) </w:t>
      </w:r>
      <w:r w:rsidR="0096016C" w:rsidRPr="009C02B5">
        <w:rPr>
          <w:lang w:val="en-US"/>
        </w:rPr>
        <w:t>Recognizing</w:t>
      </w:r>
      <w:r w:rsidRPr="009C02B5">
        <w:rPr>
          <w:lang w:val="en-US"/>
        </w:rPr>
        <w:t xml:space="preserve"> the important role of community-based organizations, cooperatives, non-profit service providers and organizations of persons with disabilities</w:t>
      </w:r>
      <w:r w:rsidR="00226299" w:rsidRPr="009C02B5">
        <w:rPr>
          <w:lang w:val="en-US"/>
        </w:rPr>
        <w:t>,</w:t>
      </w:r>
      <w:r w:rsidRPr="009C02B5">
        <w:rPr>
          <w:lang w:val="en-US"/>
        </w:rPr>
        <w:t xml:space="preserve"> in delivering accessible transport, housing</w:t>
      </w:r>
      <w:r w:rsidR="00743EAF" w:rsidRPr="009C02B5">
        <w:rPr>
          <w:lang w:val="en-US"/>
        </w:rPr>
        <w:t>, digital technologies</w:t>
      </w:r>
      <w:r w:rsidRPr="009C02B5">
        <w:rPr>
          <w:lang w:val="en-US"/>
        </w:rPr>
        <w:t xml:space="preserve"> and support services</w:t>
      </w:r>
      <w:r w:rsidR="008E50D8" w:rsidRPr="009C02B5">
        <w:rPr>
          <w:lang w:val="en-US"/>
        </w:rPr>
        <w:t xml:space="preserve">, </w:t>
      </w:r>
      <w:r w:rsidR="008C1577" w:rsidRPr="009C02B5">
        <w:rPr>
          <w:lang w:val="en-US"/>
        </w:rPr>
        <w:t xml:space="preserve">and emphasizing the centrality of co-design, co-creation and meaningful participation of persons with </w:t>
      </w:r>
      <w:r w:rsidR="002950BF" w:rsidRPr="009C02B5">
        <w:rPr>
          <w:lang w:val="en-US"/>
        </w:rPr>
        <w:t>disabilities</w:t>
      </w:r>
      <w:r w:rsidR="008C1577" w:rsidRPr="009C02B5">
        <w:rPr>
          <w:lang w:val="en-US"/>
        </w:rPr>
        <w:t xml:space="preserve"> and their representative </w:t>
      </w:r>
      <w:r w:rsidR="001A3C2B" w:rsidRPr="009C02B5">
        <w:rPr>
          <w:lang w:val="en-US"/>
        </w:rPr>
        <w:t>organizations</w:t>
      </w:r>
      <w:r w:rsidR="008C1577" w:rsidRPr="009C02B5">
        <w:rPr>
          <w:lang w:val="en-US"/>
        </w:rPr>
        <w:t xml:space="preserve"> in planning, development and implementation and monitoring of such infrastructure and </w:t>
      </w:r>
      <w:proofErr w:type="gramStart"/>
      <w:r w:rsidR="008C1577" w:rsidRPr="009C02B5">
        <w:rPr>
          <w:lang w:val="en-US"/>
        </w:rPr>
        <w:t>services;</w:t>
      </w:r>
      <w:proofErr w:type="gramEnd"/>
    </w:p>
    <w:p w14:paraId="49560C54" w14:textId="6BE2719B" w:rsidR="005C1D6D" w:rsidRPr="009C02B5" w:rsidRDefault="00F15408" w:rsidP="009C02B5">
      <w:pPr>
        <w:pStyle w:val="SingleTxtG"/>
        <w:spacing w:line="236" w:lineRule="atLeast"/>
        <w:rPr>
          <w:lang w:val="en-US"/>
        </w:rPr>
      </w:pPr>
      <w:r w:rsidRPr="009C02B5">
        <w:rPr>
          <w:lang w:val="en-US"/>
        </w:rPr>
        <w:tab/>
      </w:r>
      <w:r w:rsidRPr="009C02B5">
        <w:rPr>
          <w:lang w:val="en-US"/>
        </w:rPr>
        <w:tab/>
      </w:r>
      <w:r w:rsidR="00E33472" w:rsidRPr="009C02B5">
        <w:rPr>
          <w:lang w:val="en-US"/>
        </w:rPr>
        <w:tab/>
      </w:r>
      <w:r w:rsidR="00E33472" w:rsidRPr="009C02B5">
        <w:rPr>
          <w:lang w:val="en-US"/>
        </w:rPr>
        <w:tab/>
      </w:r>
    </w:p>
    <w:p w14:paraId="0523D4D3" w14:textId="2D320C18" w:rsidR="005C1D6D" w:rsidRPr="009C02B5" w:rsidRDefault="00E33472" w:rsidP="00FE2DBD">
      <w:pPr>
        <w:pStyle w:val="SingleTxtG"/>
        <w:spacing w:line="236" w:lineRule="atLeast"/>
        <w:rPr>
          <w:lang w:val="en-US"/>
        </w:rPr>
      </w:pPr>
      <w:r w:rsidRPr="009C02B5">
        <w:rPr>
          <w:lang w:val="en-US"/>
        </w:rPr>
        <w:tab/>
      </w:r>
      <w:r w:rsidRPr="009C02B5">
        <w:rPr>
          <w:lang w:val="en-US"/>
        </w:rPr>
        <w:tab/>
      </w:r>
      <w:proofErr w:type="gramStart"/>
      <w:r w:rsidR="00A76692" w:rsidRPr="009C02B5">
        <w:rPr>
          <w:lang w:val="en-US"/>
        </w:rPr>
        <w:t>5</w:t>
      </w:r>
      <w:r w:rsidR="00D94814" w:rsidRPr="009C02B5">
        <w:rPr>
          <w:lang w:val="en-US"/>
        </w:rPr>
        <w:t xml:space="preserve"> </w:t>
      </w:r>
      <w:r w:rsidR="005C1D6D" w:rsidRPr="009C02B5">
        <w:rPr>
          <w:lang w:val="en-US"/>
        </w:rPr>
        <w:t>.</w:t>
      </w:r>
      <w:proofErr w:type="gramEnd"/>
      <w:r w:rsidR="005C1D6D" w:rsidRPr="009C02B5">
        <w:rPr>
          <w:lang w:val="en-US"/>
        </w:rPr>
        <w:tab/>
      </w:r>
      <w:r w:rsidR="005C1D6D" w:rsidRPr="009C02B5">
        <w:rPr>
          <w:i/>
          <w:lang w:val="en-US"/>
        </w:rPr>
        <w:t>Encourages</w:t>
      </w:r>
      <w:r w:rsidR="005C1D6D" w:rsidRPr="009C02B5">
        <w:rPr>
          <w:lang w:val="en-US"/>
        </w:rPr>
        <w:t xml:space="preserve"> all relevant business enterprises, in particular those involved in the provision of </w:t>
      </w:r>
      <w:r w:rsidR="00C8341F" w:rsidRPr="009C02B5">
        <w:rPr>
          <w:lang w:val="en-US"/>
        </w:rPr>
        <w:t>disability inclusive digital technologies</w:t>
      </w:r>
      <w:r w:rsidR="00816F7A" w:rsidRPr="009C02B5">
        <w:rPr>
          <w:lang w:val="en-US"/>
        </w:rPr>
        <w:t xml:space="preserve">, including </w:t>
      </w:r>
      <w:r w:rsidR="00D9436C" w:rsidRPr="009C02B5">
        <w:rPr>
          <w:lang w:val="en-US"/>
        </w:rPr>
        <w:t>assistive</w:t>
      </w:r>
      <w:r w:rsidR="00816F7A" w:rsidRPr="009C02B5">
        <w:rPr>
          <w:lang w:val="en-US"/>
        </w:rPr>
        <w:t xml:space="preserve"> technology,</w:t>
      </w:r>
      <w:r w:rsidR="00C8341F" w:rsidRPr="009C02B5">
        <w:rPr>
          <w:lang w:val="en-US"/>
        </w:rPr>
        <w:t xml:space="preserve"> and infrastructure, including transport and housing</w:t>
      </w:r>
      <w:r w:rsidR="005C1D6D" w:rsidRPr="009C02B5">
        <w:rPr>
          <w:lang w:val="en-US"/>
        </w:rPr>
        <w:t xml:space="preserve">, to conduct human rights impact assessments to ensure </w:t>
      </w:r>
      <w:r w:rsidR="00F37DC8" w:rsidRPr="009C02B5">
        <w:rPr>
          <w:lang w:val="en-US"/>
        </w:rPr>
        <w:t xml:space="preserve">maximum </w:t>
      </w:r>
      <w:r w:rsidR="005C1D6D" w:rsidRPr="009C02B5">
        <w:rPr>
          <w:lang w:val="en-US"/>
        </w:rPr>
        <w:t xml:space="preserve">respect for the Convention and the Guiding Principles on Business and Human Rights, with the active involvement of persons with disabilities and their representative </w:t>
      </w:r>
      <w:proofErr w:type="gramStart"/>
      <w:r w:rsidR="005C1D6D" w:rsidRPr="009C02B5">
        <w:rPr>
          <w:lang w:val="en-US"/>
        </w:rPr>
        <w:t>organi</w:t>
      </w:r>
      <w:r w:rsidR="00784C7C" w:rsidRPr="009C02B5">
        <w:rPr>
          <w:lang w:val="en-US"/>
        </w:rPr>
        <w:t>z</w:t>
      </w:r>
      <w:r w:rsidR="005C1D6D" w:rsidRPr="009C02B5">
        <w:rPr>
          <w:lang w:val="en-US"/>
        </w:rPr>
        <w:t>ations;</w:t>
      </w:r>
      <w:proofErr w:type="gramEnd"/>
    </w:p>
    <w:p w14:paraId="4AA8621E" w14:textId="34E2CBDC" w:rsidR="005C1D6D" w:rsidRPr="009C02B5" w:rsidRDefault="00E33472" w:rsidP="00FE2DBD">
      <w:pPr>
        <w:pStyle w:val="H23G"/>
        <w:spacing w:line="236" w:lineRule="atLeast"/>
        <w:rPr>
          <w:lang w:val="en-US"/>
        </w:rPr>
      </w:pPr>
      <w:r w:rsidRPr="009C02B5">
        <w:rPr>
          <w:lang w:val="en-US"/>
        </w:rPr>
        <w:tab/>
      </w:r>
      <w:r w:rsidRPr="009C02B5">
        <w:rPr>
          <w:lang w:val="en-US"/>
        </w:rPr>
        <w:tab/>
      </w:r>
      <w:r w:rsidR="005C1D6D" w:rsidRPr="009C02B5">
        <w:rPr>
          <w:lang w:val="en-US"/>
        </w:rPr>
        <w:t>Follow-up</w:t>
      </w:r>
    </w:p>
    <w:p w14:paraId="38C8ECF8" w14:textId="6ECBFD76" w:rsidR="005C1D6D" w:rsidRPr="009C02B5" w:rsidRDefault="00E33472" w:rsidP="00FE2DBD">
      <w:pPr>
        <w:pStyle w:val="SingleTxtG"/>
        <w:spacing w:line="236" w:lineRule="atLeast"/>
        <w:rPr>
          <w:lang w:val="en-US"/>
        </w:rPr>
      </w:pPr>
      <w:r w:rsidRPr="009C02B5">
        <w:rPr>
          <w:lang w:val="en-US"/>
        </w:rPr>
        <w:tab/>
      </w:r>
      <w:r w:rsidRPr="009C02B5">
        <w:rPr>
          <w:lang w:val="en-US"/>
        </w:rPr>
        <w:tab/>
      </w:r>
      <w:proofErr w:type="gramStart"/>
      <w:r w:rsidR="000B73F8" w:rsidRPr="009C02B5">
        <w:rPr>
          <w:lang w:val="en-US"/>
        </w:rPr>
        <w:t>6</w:t>
      </w:r>
      <w:r w:rsidR="00D94814" w:rsidRPr="009C02B5">
        <w:rPr>
          <w:lang w:val="en-US"/>
        </w:rPr>
        <w:t xml:space="preserve"> </w:t>
      </w:r>
      <w:r w:rsidR="005C1D6D" w:rsidRPr="009C02B5">
        <w:rPr>
          <w:lang w:val="en-US"/>
        </w:rPr>
        <w:t>.</w:t>
      </w:r>
      <w:proofErr w:type="gramEnd"/>
      <w:r w:rsidR="005C1D6D" w:rsidRPr="009C02B5">
        <w:rPr>
          <w:lang w:val="en-US"/>
        </w:rPr>
        <w:tab/>
      </w:r>
      <w:r w:rsidR="005C1D6D" w:rsidRPr="009C02B5">
        <w:rPr>
          <w:i/>
          <w:lang w:val="en-US"/>
        </w:rPr>
        <w:t xml:space="preserve">Calls upon </w:t>
      </w:r>
      <w:r w:rsidR="005C1D6D" w:rsidRPr="009C02B5">
        <w:rPr>
          <w:lang w:val="en-US"/>
        </w:rPr>
        <w:t xml:space="preserve">States to engage in international cooperation efforts at all levels to promote </w:t>
      </w:r>
      <w:r w:rsidR="00ED7AE0" w:rsidRPr="009C02B5">
        <w:rPr>
          <w:lang w:val="en-US"/>
        </w:rPr>
        <w:t xml:space="preserve">disability inclusive digital technologies and infrastructure, including </w:t>
      </w:r>
      <w:r w:rsidR="00122538" w:rsidRPr="009C02B5">
        <w:rPr>
          <w:lang w:val="en-US"/>
        </w:rPr>
        <w:t>transport and housing</w:t>
      </w:r>
      <w:r w:rsidR="005C1D6D" w:rsidRPr="009C02B5">
        <w:rPr>
          <w:lang w:val="en-US"/>
        </w:rPr>
        <w:t xml:space="preserve">, and </w:t>
      </w:r>
      <w:r w:rsidR="00DE66F5" w:rsidRPr="009C02B5">
        <w:rPr>
          <w:lang w:val="en-US"/>
        </w:rPr>
        <w:t xml:space="preserve">to </w:t>
      </w:r>
      <w:r w:rsidR="001727DE" w:rsidRPr="009C02B5">
        <w:rPr>
          <w:lang w:val="en-US"/>
        </w:rPr>
        <w:t xml:space="preserve">ensure that all international cooperation and humanitarian action is inclusive of persons with disabilities and does not contribute to creating new barriers for them, </w:t>
      </w:r>
      <w:r w:rsidR="00DE66F5" w:rsidRPr="009C02B5">
        <w:rPr>
          <w:lang w:val="en-US"/>
        </w:rPr>
        <w:t>as well as</w:t>
      </w:r>
      <w:r w:rsidR="001727DE" w:rsidRPr="009C02B5">
        <w:rPr>
          <w:lang w:val="en-US"/>
        </w:rPr>
        <w:t xml:space="preserve"> </w:t>
      </w:r>
      <w:r w:rsidR="005C1D6D" w:rsidRPr="009C02B5">
        <w:rPr>
          <w:lang w:val="en-US"/>
        </w:rPr>
        <w:t xml:space="preserve">to encourage the mobilization of public and private resources on a sustainable basis to mainstream the rights of persons with disabilities in development, and invites the Office of the </w:t>
      </w:r>
      <w:r w:rsidR="007D6995" w:rsidRPr="009C02B5">
        <w:rPr>
          <w:lang w:val="en-US"/>
        </w:rPr>
        <w:t xml:space="preserve">United Nations </w:t>
      </w:r>
      <w:r w:rsidR="005C1D6D" w:rsidRPr="009C02B5">
        <w:rPr>
          <w:lang w:val="en-US"/>
        </w:rPr>
        <w:t xml:space="preserve">High Commissioner </w:t>
      </w:r>
      <w:r w:rsidR="007D6995" w:rsidRPr="009C02B5">
        <w:rPr>
          <w:lang w:val="en-US"/>
        </w:rPr>
        <w:t xml:space="preserve">for Human Rights </w:t>
      </w:r>
      <w:r w:rsidR="005C1D6D" w:rsidRPr="009C02B5">
        <w:rPr>
          <w:lang w:val="en-US"/>
        </w:rPr>
        <w:t>and relevant United Nations agencies, and other donor mechanisms and partnerships, to consider ways to foster international cooperation activities in that regard, in close consultation with persons with disabilities and their representative organizations;</w:t>
      </w:r>
    </w:p>
    <w:p w14:paraId="0F37B84B" w14:textId="59AF6F7F" w:rsidR="005C1D6D"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66459" w:rsidRPr="009C02B5">
        <w:rPr>
          <w:lang w:val="en-US"/>
        </w:rPr>
        <w:t>7</w:t>
      </w:r>
      <w:r w:rsidR="00705D79" w:rsidRPr="009C02B5">
        <w:rPr>
          <w:lang w:val="en-US"/>
        </w:rPr>
        <w:t xml:space="preserve"> </w:t>
      </w:r>
      <w:r w:rsidR="005C1D6D" w:rsidRPr="009C02B5">
        <w:rPr>
          <w:lang w:val="en-US"/>
        </w:rPr>
        <w:t>.</w:t>
      </w:r>
      <w:proofErr w:type="gramEnd"/>
      <w:r w:rsidRPr="009C02B5">
        <w:rPr>
          <w:lang w:val="en-US"/>
        </w:rPr>
        <w:tab/>
      </w:r>
      <w:r w:rsidR="005C1D6D" w:rsidRPr="009C02B5">
        <w:rPr>
          <w:i/>
          <w:iCs/>
          <w:lang w:val="en-US"/>
        </w:rPr>
        <w:t xml:space="preserve">Encourages </w:t>
      </w:r>
      <w:r w:rsidR="005C1D6D" w:rsidRPr="009C02B5">
        <w:rPr>
          <w:lang w:val="en-US"/>
        </w:rPr>
        <w:t xml:space="preserve">the Office of the High Commissioner to share its technical expertise with other United Nations agencies involved with </w:t>
      </w:r>
      <w:r w:rsidR="00F4011D" w:rsidRPr="009C02B5">
        <w:rPr>
          <w:lang w:val="en-US"/>
        </w:rPr>
        <w:t xml:space="preserve">disability inclusive </w:t>
      </w:r>
      <w:r w:rsidR="005558DE" w:rsidRPr="009C02B5">
        <w:rPr>
          <w:lang w:val="en-US"/>
        </w:rPr>
        <w:t>digital technologies and infrastructure, including transport and housing</w:t>
      </w:r>
      <w:r w:rsidR="005C1D6D" w:rsidRPr="009C02B5">
        <w:rPr>
          <w:lang w:val="en-US"/>
        </w:rPr>
        <w:t>, in order to promote the integration of a human rights</w:t>
      </w:r>
      <w:r w:rsidR="00D8391C" w:rsidRPr="009C02B5">
        <w:rPr>
          <w:lang w:val="en-US"/>
        </w:rPr>
        <w:t>-</w:t>
      </w:r>
      <w:r w:rsidR="005C1D6D" w:rsidRPr="009C02B5">
        <w:rPr>
          <w:lang w:val="en-US"/>
        </w:rPr>
        <w:t xml:space="preserve">based approach </w:t>
      </w:r>
      <w:r w:rsidR="004574A6" w:rsidRPr="009C02B5">
        <w:rPr>
          <w:lang w:val="en-US"/>
        </w:rPr>
        <w:t>to</w:t>
      </w:r>
      <w:r w:rsidR="005C1D6D" w:rsidRPr="009C02B5">
        <w:rPr>
          <w:lang w:val="en-US"/>
        </w:rPr>
        <w:t xml:space="preserve"> persons with </w:t>
      </w:r>
      <w:proofErr w:type="gramStart"/>
      <w:r w:rsidR="005C1D6D" w:rsidRPr="009C02B5">
        <w:rPr>
          <w:lang w:val="en-US"/>
        </w:rPr>
        <w:t>disabilities;</w:t>
      </w:r>
      <w:proofErr w:type="gramEnd"/>
    </w:p>
    <w:p w14:paraId="5F9081AD" w14:textId="48406732" w:rsidR="005C1D6D" w:rsidRPr="009C02B5" w:rsidRDefault="00555C84" w:rsidP="009C02B5">
      <w:pPr>
        <w:pStyle w:val="SingleTxtG"/>
        <w:spacing w:line="236" w:lineRule="atLeast"/>
        <w:rPr>
          <w:lang w:val="en-US"/>
        </w:rPr>
      </w:pPr>
      <w:r w:rsidRPr="009C02B5">
        <w:rPr>
          <w:lang w:val="en-US"/>
        </w:rPr>
        <w:tab/>
      </w:r>
      <w:r w:rsidRPr="009C02B5">
        <w:rPr>
          <w:lang w:val="en-US"/>
        </w:rPr>
        <w:tab/>
      </w:r>
      <w:r w:rsidRPr="009C02B5">
        <w:rPr>
          <w:lang w:val="en-US"/>
        </w:rPr>
        <w:tab/>
      </w:r>
      <w:r w:rsidRPr="009C02B5">
        <w:rPr>
          <w:lang w:val="en-US"/>
        </w:rPr>
        <w:tab/>
      </w:r>
    </w:p>
    <w:p w14:paraId="45CBBE96" w14:textId="55D1BA8F" w:rsidR="005C1D6D"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66459" w:rsidRPr="009C02B5">
        <w:rPr>
          <w:lang w:val="en-US"/>
        </w:rPr>
        <w:t>8</w:t>
      </w:r>
      <w:r w:rsidR="006A2DB5" w:rsidRPr="009C02B5">
        <w:rPr>
          <w:lang w:val="en-US"/>
        </w:rPr>
        <w:t xml:space="preserve"> </w:t>
      </w:r>
      <w:r w:rsidR="005C1D6D" w:rsidRPr="009C02B5">
        <w:rPr>
          <w:lang w:val="en-US"/>
        </w:rPr>
        <w:t>.</w:t>
      </w:r>
      <w:proofErr w:type="gramEnd"/>
      <w:r w:rsidR="005C1D6D" w:rsidRPr="009C02B5">
        <w:rPr>
          <w:lang w:val="en-US"/>
        </w:rPr>
        <w:tab/>
      </w:r>
      <w:r w:rsidR="005C1D6D" w:rsidRPr="009C02B5">
        <w:rPr>
          <w:i/>
          <w:lang w:val="en-US"/>
        </w:rPr>
        <w:t>Requests</w:t>
      </w:r>
      <w:r w:rsidR="005C1D6D" w:rsidRPr="009C02B5">
        <w:rPr>
          <w:lang w:val="en-US"/>
        </w:rPr>
        <w:t xml:space="preserve"> the Office of the High Commissioner to present an oral report to the Human Rights Council on the implementation of the United Nations Disability Inclusion Strategy across its </w:t>
      </w:r>
      <w:proofErr w:type="spellStart"/>
      <w:r w:rsidR="005C1D6D" w:rsidRPr="009C02B5">
        <w:rPr>
          <w:lang w:val="en-US"/>
        </w:rPr>
        <w:t>programmes</w:t>
      </w:r>
      <w:proofErr w:type="spellEnd"/>
      <w:r w:rsidR="005C1D6D" w:rsidRPr="009C02B5">
        <w:rPr>
          <w:lang w:val="en-US"/>
        </w:rPr>
        <w:t xml:space="preserve"> and operations at its </w:t>
      </w:r>
      <w:r w:rsidR="002C2F77" w:rsidRPr="009C02B5">
        <w:rPr>
          <w:lang w:val="en-US"/>
        </w:rPr>
        <w:t>si</w:t>
      </w:r>
      <w:r w:rsidR="00416FCC" w:rsidRPr="009C02B5">
        <w:rPr>
          <w:lang w:val="en-US"/>
        </w:rPr>
        <w:t xml:space="preserve">xty-fifth </w:t>
      </w:r>
      <w:r w:rsidR="005C1D6D" w:rsidRPr="009C02B5">
        <w:rPr>
          <w:lang w:val="en-US"/>
        </w:rPr>
        <w:t>and sixty-</w:t>
      </w:r>
      <w:r w:rsidR="00416FCC" w:rsidRPr="009C02B5">
        <w:rPr>
          <w:lang w:val="en-US"/>
        </w:rPr>
        <w:t xml:space="preserve"> eight</w:t>
      </w:r>
      <w:r w:rsidR="00D973AF" w:rsidRPr="009C02B5">
        <w:rPr>
          <w:lang w:val="en-US"/>
        </w:rPr>
        <w:t xml:space="preserve"> </w:t>
      </w:r>
      <w:r w:rsidR="005C1D6D" w:rsidRPr="009C02B5">
        <w:rPr>
          <w:lang w:val="en-US"/>
        </w:rPr>
        <w:t>sessions, with international sign interpretation and captioning, and also requests the Office to make its report to the Secretary-General on the Strategy publicly available in an easy-to-read version and in an accessible format;</w:t>
      </w:r>
    </w:p>
    <w:p w14:paraId="345B5A2F" w14:textId="1BEF9DAA" w:rsidR="005C1D6D" w:rsidRPr="009C02B5" w:rsidRDefault="00555C84" w:rsidP="00FE2DBD">
      <w:pPr>
        <w:pStyle w:val="SingleTxtG"/>
        <w:spacing w:line="236" w:lineRule="atLeast"/>
        <w:rPr>
          <w:b/>
          <w:bCs/>
          <w:lang w:val="en-US"/>
        </w:rPr>
      </w:pPr>
      <w:r w:rsidRPr="009C02B5">
        <w:rPr>
          <w:lang w:val="en-US"/>
        </w:rPr>
        <w:tab/>
      </w:r>
      <w:r w:rsidRPr="009C02B5">
        <w:rPr>
          <w:lang w:val="en-US"/>
        </w:rPr>
        <w:tab/>
      </w:r>
      <w:proofErr w:type="gramStart"/>
      <w:r w:rsidR="00B66459" w:rsidRPr="009C02B5">
        <w:rPr>
          <w:lang w:val="en-US"/>
        </w:rPr>
        <w:t>9</w:t>
      </w:r>
      <w:r w:rsidR="006A2DB5" w:rsidRPr="009C02B5">
        <w:rPr>
          <w:lang w:val="en-US"/>
        </w:rPr>
        <w:t xml:space="preserve"> </w:t>
      </w:r>
      <w:r w:rsidR="005C1D6D" w:rsidRPr="009C02B5">
        <w:rPr>
          <w:lang w:val="en-US"/>
        </w:rPr>
        <w:t>.</w:t>
      </w:r>
      <w:proofErr w:type="gramEnd"/>
      <w:r w:rsidR="005C1D6D" w:rsidRPr="009C02B5">
        <w:rPr>
          <w:lang w:val="en-US"/>
        </w:rPr>
        <w:tab/>
      </w:r>
      <w:r w:rsidR="005C1D6D" w:rsidRPr="009C02B5">
        <w:rPr>
          <w:i/>
          <w:iCs/>
          <w:lang w:val="en-US"/>
        </w:rPr>
        <w:t xml:space="preserve">Decides </w:t>
      </w:r>
      <w:r w:rsidR="005C1D6D" w:rsidRPr="009C02B5">
        <w:rPr>
          <w:lang w:val="en-US"/>
        </w:rPr>
        <w:t xml:space="preserve">that its next annual interactive debate on the rights of persons with disabilities will be held at its </w:t>
      </w:r>
      <w:r w:rsidR="008A5A7A" w:rsidRPr="009C02B5">
        <w:rPr>
          <w:lang w:val="en-US"/>
        </w:rPr>
        <w:t>sixty-fourth</w:t>
      </w:r>
      <w:r w:rsidR="005C1D6D" w:rsidRPr="009C02B5">
        <w:rPr>
          <w:lang w:val="en-US"/>
        </w:rPr>
        <w:t xml:space="preserve"> session, and will focus on</w:t>
      </w:r>
      <w:r w:rsidR="00701F4D" w:rsidRPr="009C02B5">
        <w:rPr>
          <w:lang w:val="en-US"/>
        </w:rPr>
        <w:t xml:space="preserve"> </w:t>
      </w:r>
      <w:r w:rsidR="00AF71C7" w:rsidRPr="009C02B5">
        <w:rPr>
          <w:lang w:val="en-US"/>
        </w:rPr>
        <w:t>the 20</w:t>
      </w:r>
      <w:r w:rsidR="00AF71C7" w:rsidRPr="009C02B5">
        <w:rPr>
          <w:vertAlign w:val="superscript"/>
          <w:lang w:val="en-US"/>
        </w:rPr>
        <w:t>th</w:t>
      </w:r>
      <w:r w:rsidR="00AF71C7" w:rsidRPr="009C02B5">
        <w:rPr>
          <w:lang w:val="en-US"/>
        </w:rPr>
        <w:t xml:space="preserve"> anniversary of the adoption of </w:t>
      </w:r>
      <w:r w:rsidR="006D40A3" w:rsidRPr="009C02B5">
        <w:rPr>
          <w:lang w:val="en-US"/>
        </w:rPr>
        <w:t xml:space="preserve">the </w:t>
      </w:r>
      <w:r w:rsidR="00DE7801" w:rsidRPr="009C02B5">
        <w:rPr>
          <w:lang w:val="en-US"/>
        </w:rPr>
        <w:t>Convention on the Rights of Persons with Disabilities</w:t>
      </w:r>
      <w:r w:rsidR="006D40A3" w:rsidRPr="009C02B5">
        <w:rPr>
          <w:lang w:val="en-US"/>
        </w:rPr>
        <w:t xml:space="preserve">: </w:t>
      </w:r>
      <w:r w:rsidR="000B547E" w:rsidRPr="009C02B5">
        <w:rPr>
          <w:lang w:val="en-US"/>
        </w:rPr>
        <w:t xml:space="preserve">lessons learned and challenges in </w:t>
      </w:r>
      <w:r w:rsidR="00EA4677" w:rsidRPr="009C02B5">
        <w:rPr>
          <w:lang w:val="en-US"/>
        </w:rPr>
        <w:t>the development of human righ</w:t>
      </w:r>
      <w:r w:rsidR="00547085" w:rsidRPr="009C02B5">
        <w:rPr>
          <w:lang w:val="en-US"/>
        </w:rPr>
        <w:t>ts standards and norms</w:t>
      </w:r>
      <w:r w:rsidR="00553FD4" w:rsidRPr="009C02B5">
        <w:rPr>
          <w:lang w:val="en-US"/>
        </w:rPr>
        <w:t xml:space="preserve"> </w:t>
      </w:r>
      <w:r w:rsidR="005C1D6D" w:rsidRPr="009C02B5">
        <w:rPr>
          <w:lang w:val="en-US"/>
        </w:rPr>
        <w:t xml:space="preserve">and will have international sign interpretation and </w:t>
      </w:r>
      <w:proofErr w:type="gramStart"/>
      <w:r w:rsidR="005C1D6D" w:rsidRPr="009C02B5">
        <w:rPr>
          <w:lang w:val="en-US"/>
        </w:rPr>
        <w:t>captioning;</w:t>
      </w:r>
      <w:proofErr w:type="gramEnd"/>
    </w:p>
    <w:p w14:paraId="2F9F80D0" w14:textId="36CEB217" w:rsidR="005C1D6D"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66459" w:rsidRPr="009C02B5">
        <w:rPr>
          <w:lang w:val="en-US"/>
        </w:rPr>
        <w:t>10</w:t>
      </w:r>
      <w:r w:rsidR="006A2DB5" w:rsidRPr="009C02B5">
        <w:rPr>
          <w:lang w:val="en-US"/>
        </w:rPr>
        <w:t xml:space="preserve"> </w:t>
      </w:r>
      <w:r w:rsidR="005C1D6D" w:rsidRPr="009C02B5">
        <w:rPr>
          <w:lang w:val="en-US"/>
        </w:rPr>
        <w:t>.</w:t>
      </w:r>
      <w:proofErr w:type="gramEnd"/>
      <w:r w:rsidR="005C1D6D" w:rsidRPr="009C02B5">
        <w:rPr>
          <w:lang w:val="en-US"/>
        </w:rPr>
        <w:tab/>
      </w:r>
      <w:proofErr w:type="gramStart"/>
      <w:r w:rsidR="005C1D6D" w:rsidRPr="009C02B5">
        <w:rPr>
          <w:i/>
          <w:lang w:val="en-US"/>
        </w:rPr>
        <w:t>Also</w:t>
      </w:r>
      <w:proofErr w:type="gramEnd"/>
      <w:r w:rsidR="005C1D6D" w:rsidRPr="009C02B5">
        <w:rPr>
          <w:i/>
          <w:lang w:val="en-US"/>
        </w:rPr>
        <w:t xml:space="preserve"> decides</w:t>
      </w:r>
      <w:r w:rsidR="005C1D6D" w:rsidRPr="009C02B5">
        <w:rPr>
          <w:lang w:val="en-US"/>
        </w:rPr>
        <w:t xml:space="preserve"> to hold at its sixty-</w:t>
      </w:r>
      <w:r w:rsidR="006E67FE" w:rsidRPr="009C02B5">
        <w:rPr>
          <w:lang w:val="en-US"/>
        </w:rPr>
        <w:t xml:space="preserve">seventh </w:t>
      </w:r>
      <w:r w:rsidR="005C1D6D" w:rsidRPr="009C02B5">
        <w:rPr>
          <w:lang w:val="en-US"/>
        </w:rPr>
        <w:t>session an interactive debate on the rights of persons with disabilities, which will focus on</w:t>
      </w:r>
      <w:r w:rsidR="00D973AF" w:rsidRPr="009C02B5">
        <w:rPr>
          <w:b/>
          <w:bCs/>
          <w:lang w:val="en-US"/>
        </w:rPr>
        <w:t xml:space="preserve"> </w:t>
      </w:r>
      <w:r w:rsidR="003E18D0" w:rsidRPr="009C02B5">
        <w:rPr>
          <w:lang w:val="en-US"/>
        </w:rPr>
        <w:t xml:space="preserve">measures to prevent all forms of exploitation, violence and abuse of persons with </w:t>
      </w:r>
      <w:proofErr w:type="gramStart"/>
      <w:r w:rsidR="003E18D0" w:rsidRPr="009C02B5">
        <w:rPr>
          <w:lang w:val="en-US"/>
        </w:rPr>
        <w:t xml:space="preserve">disabilities </w:t>
      </w:r>
      <w:r w:rsidR="005C1D6D" w:rsidRPr="009C02B5">
        <w:rPr>
          <w:lang w:val="en-US"/>
        </w:rPr>
        <w:t>,</w:t>
      </w:r>
      <w:proofErr w:type="gramEnd"/>
      <w:r w:rsidR="005C1D6D" w:rsidRPr="009C02B5">
        <w:rPr>
          <w:lang w:val="en-US"/>
        </w:rPr>
        <w:t xml:space="preserve"> and will have international sign interpretation and </w:t>
      </w:r>
      <w:proofErr w:type="gramStart"/>
      <w:r w:rsidR="005C1D6D" w:rsidRPr="009C02B5">
        <w:rPr>
          <w:lang w:val="en-US"/>
        </w:rPr>
        <w:t>captioning;</w:t>
      </w:r>
      <w:proofErr w:type="gramEnd"/>
    </w:p>
    <w:p w14:paraId="151D66D5" w14:textId="591A1778" w:rsidR="005C1D6D"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66459" w:rsidRPr="009C02B5">
        <w:rPr>
          <w:lang w:val="en-US"/>
        </w:rPr>
        <w:t>11</w:t>
      </w:r>
      <w:r w:rsidR="006A2DB5" w:rsidRPr="009C02B5">
        <w:rPr>
          <w:lang w:val="en-US"/>
        </w:rPr>
        <w:t xml:space="preserve"> </w:t>
      </w:r>
      <w:r w:rsidR="005C1D6D" w:rsidRPr="009C02B5">
        <w:rPr>
          <w:lang w:val="en-US"/>
        </w:rPr>
        <w:t>.</w:t>
      </w:r>
      <w:proofErr w:type="gramEnd"/>
      <w:r w:rsidR="005C1D6D" w:rsidRPr="009C02B5">
        <w:rPr>
          <w:lang w:val="en-US"/>
        </w:rPr>
        <w:tab/>
      </w:r>
      <w:r w:rsidR="005C1D6D" w:rsidRPr="009C02B5">
        <w:rPr>
          <w:i/>
          <w:iCs/>
          <w:lang w:val="en-US"/>
        </w:rPr>
        <w:t xml:space="preserve">Requests </w:t>
      </w:r>
      <w:r w:rsidR="005C1D6D" w:rsidRPr="009C02B5">
        <w:rPr>
          <w:lang w:val="en-US"/>
        </w:rPr>
        <w:t>the Office of the High Commissioner to prepare its next annual thematic study on the rights of persons with disabilities on t</w:t>
      </w:r>
      <w:r w:rsidR="005C1D6D" w:rsidRPr="009C02B5">
        <w:rPr>
          <w:bCs/>
          <w:lang w:val="en-US"/>
        </w:rPr>
        <w:t>he</w:t>
      </w:r>
      <w:r w:rsidR="00452E9B" w:rsidRPr="009C02B5">
        <w:rPr>
          <w:bCs/>
          <w:lang w:val="en-US"/>
        </w:rPr>
        <w:t xml:space="preserve"> </w:t>
      </w:r>
      <w:r w:rsidR="00452E9B" w:rsidRPr="009C02B5">
        <w:rPr>
          <w:lang w:val="en-US"/>
        </w:rPr>
        <w:t>20</w:t>
      </w:r>
      <w:r w:rsidR="00452E9B" w:rsidRPr="009C02B5">
        <w:rPr>
          <w:vertAlign w:val="superscript"/>
          <w:lang w:val="en-US"/>
        </w:rPr>
        <w:t>th</w:t>
      </w:r>
      <w:r w:rsidR="00452E9B" w:rsidRPr="009C02B5">
        <w:rPr>
          <w:lang w:val="en-US"/>
        </w:rPr>
        <w:t xml:space="preserve"> anniversary of the adoption of the Convention on the Rights of Persons with Disabilities: lessons learned and challenges </w:t>
      </w:r>
      <w:r w:rsidR="00547085" w:rsidRPr="009C02B5">
        <w:rPr>
          <w:lang w:val="en-US"/>
        </w:rPr>
        <w:t>in the development of human rights standards and norms</w:t>
      </w:r>
      <w:r w:rsidR="005C1D6D" w:rsidRPr="009C02B5">
        <w:rPr>
          <w:lang w:val="en-US"/>
        </w:rPr>
        <w:t>, and to prepare its subsequent study on</w:t>
      </w:r>
      <w:r w:rsidR="003938FD" w:rsidRPr="009C02B5">
        <w:rPr>
          <w:lang w:val="en-US"/>
        </w:rPr>
        <w:t xml:space="preserve"> </w:t>
      </w:r>
      <w:r w:rsidR="00452E9B" w:rsidRPr="009C02B5">
        <w:rPr>
          <w:lang w:val="en-US"/>
        </w:rPr>
        <w:t xml:space="preserve">measures to prevent all forms of exploitation, violence and abuse of persons with disabilities </w:t>
      </w:r>
      <w:r w:rsidR="005C1D6D" w:rsidRPr="009C02B5">
        <w:rPr>
          <w:lang w:val="en-US"/>
        </w:rPr>
        <w:t xml:space="preserve">, in consultation with States and other relevant stakeholders, regional organizations, the Special Rapporteur on the rights of persons with disabilities and other relevant </w:t>
      </w:r>
      <w:r w:rsidR="00423EEA" w:rsidRPr="009C02B5">
        <w:rPr>
          <w:lang w:val="en-US"/>
        </w:rPr>
        <w:t>s</w:t>
      </w:r>
      <w:r w:rsidR="005C1D6D" w:rsidRPr="009C02B5">
        <w:rPr>
          <w:lang w:val="en-US"/>
        </w:rPr>
        <w:t xml:space="preserve">pecial </w:t>
      </w:r>
      <w:r w:rsidR="00423EEA" w:rsidRPr="009C02B5">
        <w:rPr>
          <w:lang w:val="en-US"/>
        </w:rPr>
        <w:t>p</w:t>
      </w:r>
      <w:r w:rsidR="005C1D6D" w:rsidRPr="009C02B5">
        <w:rPr>
          <w:lang w:val="en-US"/>
        </w:rPr>
        <w:t xml:space="preserve">rocedure mandate holders, civil society organizations, including organizations of persons with disabilities, and national human rights institutions, requiring contributions to be submitted in an accessible format, and requests that such stakeholder contributions, the studies themselves and an easy-to-read-version of them be made available on the website of the Office, in an accessible format, prior to the </w:t>
      </w:r>
      <w:r w:rsidR="006F305F" w:rsidRPr="009C02B5">
        <w:rPr>
          <w:lang w:val="en-US"/>
        </w:rPr>
        <w:t>sixty-fourth</w:t>
      </w:r>
      <w:r w:rsidR="005C1D6D" w:rsidRPr="009C02B5">
        <w:rPr>
          <w:lang w:val="en-US"/>
        </w:rPr>
        <w:t xml:space="preserve"> and sixty-</w:t>
      </w:r>
      <w:r w:rsidR="00370978" w:rsidRPr="009C02B5">
        <w:rPr>
          <w:lang w:val="en-US"/>
        </w:rPr>
        <w:t>seventh</w:t>
      </w:r>
      <w:r w:rsidR="005C1D6D" w:rsidRPr="009C02B5">
        <w:rPr>
          <w:lang w:val="en-US"/>
        </w:rPr>
        <w:t xml:space="preserve"> sessions of the Human Rights Council;</w:t>
      </w:r>
    </w:p>
    <w:p w14:paraId="23FEC6DB" w14:textId="5903366D" w:rsidR="005C1D6D"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66459" w:rsidRPr="009C02B5">
        <w:rPr>
          <w:lang w:val="en-US"/>
        </w:rPr>
        <w:t>12</w:t>
      </w:r>
      <w:r w:rsidR="006A2DB5" w:rsidRPr="009C02B5">
        <w:rPr>
          <w:lang w:val="en-US"/>
        </w:rPr>
        <w:t xml:space="preserve"> </w:t>
      </w:r>
      <w:r w:rsidR="005C1D6D" w:rsidRPr="009C02B5">
        <w:rPr>
          <w:lang w:val="en-US"/>
        </w:rPr>
        <w:t>.</w:t>
      </w:r>
      <w:proofErr w:type="gramEnd"/>
      <w:r w:rsidR="005C1D6D" w:rsidRPr="009C02B5">
        <w:rPr>
          <w:lang w:val="en-US"/>
        </w:rPr>
        <w:tab/>
      </w:r>
      <w:r w:rsidR="005C1D6D" w:rsidRPr="009C02B5">
        <w:rPr>
          <w:i/>
          <w:lang w:val="en-US"/>
        </w:rPr>
        <w:t>Encourages</w:t>
      </w:r>
      <w:r w:rsidR="005C1D6D" w:rsidRPr="009C02B5">
        <w:rPr>
          <w:lang w:val="en-US"/>
        </w:rPr>
        <w:t xml:space="preserve"> the task force on secretariat services and accessibility for persons with disabilities to report orally to the Human Rights Council on its work and on the progress made in the implementation of its accessibility plan;</w:t>
      </w:r>
    </w:p>
    <w:p w14:paraId="001F925C" w14:textId="6B4BD9A6" w:rsidR="005C1D6D"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66459" w:rsidRPr="009C02B5">
        <w:rPr>
          <w:lang w:val="en-US"/>
        </w:rPr>
        <w:t>13</w:t>
      </w:r>
      <w:r w:rsidR="006A2DB5" w:rsidRPr="009C02B5">
        <w:rPr>
          <w:lang w:val="en-US"/>
        </w:rPr>
        <w:t xml:space="preserve"> </w:t>
      </w:r>
      <w:r w:rsidR="005C1D6D" w:rsidRPr="009C02B5">
        <w:rPr>
          <w:lang w:val="en-US"/>
        </w:rPr>
        <w:t>.</w:t>
      </w:r>
      <w:proofErr w:type="gramEnd"/>
      <w:r w:rsidR="005C1D6D" w:rsidRPr="009C02B5">
        <w:rPr>
          <w:lang w:val="en-US"/>
        </w:rPr>
        <w:tab/>
      </w:r>
      <w:r w:rsidR="005C1D6D" w:rsidRPr="009C02B5">
        <w:rPr>
          <w:i/>
          <w:iCs/>
          <w:lang w:val="en-US"/>
        </w:rPr>
        <w:t xml:space="preserve">Urges </w:t>
      </w:r>
      <w:r w:rsidR="005C1D6D" w:rsidRPr="009C02B5">
        <w:rPr>
          <w:lang w:val="en-US"/>
        </w:rPr>
        <w:t>States to consider further integrating and mainstreaming the perspective and rights of persons with disabilities into the work of the Human Rights Council, such as by mandating international sign interpretation and captioning for all meetings of the Council;</w:t>
      </w:r>
    </w:p>
    <w:p w14:paraId="7D4E38DA" w14:textId="5411AFB5" w:rsidR="006E5204"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457D1" w:rsidRPr="009C02B5">
        <w:rPr>
          <w:lang w:val="en-US"/>
        </w:rPr>
        <w:t>14</w:t>
      </w:r>
      <w:r w:rsidR="006A2DB5" w:rsidRPr="009C02B5">
        <w:rPr>
          <w:lang w:val="en-US"/>
        </w:rPr>
        <w:t xml:space="preserve"> </w:t>
      </w:r>
      <w:r w:rsidR="005C1D6D" w:rsidRPr="009C02B5">
        <w:rPr>
          <w:lang w:val="en-US"/>
        </w:rPr>
        <w:t>.</w:t>
      </w:r>
      <w:proofErr w:type="gramEnd"/>
      <w:r w:rsidRPr="009C02B5">
        <w:rPr>
          <w:lang w:val="en-US"/>
        </w:rPr>
        <w:tab/>
      </w:r>
      <w:r w:rsidR="00FA6F74" w:rsidRPr="009C02B5">
        <w:rPr>
          <w:i/>
          <w:iCs/>
          <w:lang w:val="en-US"/>
        </w:rPr>
        <w:t>Regrets</w:t>
      </w:r>
      <w:r w:rsidR="0049217B" w:rsidRPr="009C02B5">
        <w:rPr>
          <w:lang w:val="en-US"/>
        </w:rPr>
        <w:t xml:space="preserve"> that, due to</w:t>
      </w:r>
      <w:r w:rsidR="00B60B6D" w:rsidRPr="009C02B5">
        <w:rPr>
          <w:lang w:val="en-US"/>
        </w:rPr>
        <w:t xml:space="preserve"> the United Nations budgetary and liquidity crisis</w:t>
      </w:r>
      <w:r w:rsidR="00271B8F" w:rsidRPr="009C02B5">
        <w:rPr>
          <w:lang w:val="en-US"/>
        </w:rPr>
        <w:t>,</w:t>
      </w:r>
      <w:r w:rsidR="009833ED" w:rsidRPr="009C02B5">
        <w:rPr>
          <w:lang w:val="en-US"/>
        </w:rPr>
        <w:t xml:space="preserve"> </w:t>
      </w:r>
      <w:r w:rsidR="005E1A81" w:rsidRPr="009C02B5">
        <w:rPr>
          <w:iCs/>
          <w:lang w:val="en-US"/>
        </w:rPr>
        <w:t xml:space="preserve">the Secretary-General </w:t>
      </w:r>
      <w:r w:rsidR="00271B8F" w:rsidRPr="009C02B5">
        <w:rPr>
          <w:iCs/>
          <w:lang w:val="en-US"/>
        </w:rPr>
        <w:t xml:space="preserve">was not able to </w:t>
      </w:r>
      <w:r w:rsidR="005E1A81" w:rsidRPr="009C02B5">
        <w:rPr>
          <w:iCs/>
          <w:lang w:val="en-US"/>
        </w:rPr>
        <w:t>prepare and submit to the Human Rights Council, at its fifty</w:t>
      </w:r>
      <w:r w:rsidR="00D731FB" w:rsidRPr="009C02B5">
        <w:rPr>
          <w:iCs/>
          <w:lang w:val="en-US"/>
        </w:rPr>
        <w:t>-</w:t>
      </w:r>
      <w:r w:rsidR="005E1A81" w:rsidRPr="009C02B5">
        <w:rPr>
          <w:iCs/>
          <w:lang w:val="en-US"/>
        </w:rPr>
        <w:t>ninth session, a study defin</w:t>
      </w:r>
      <w:r w:rsidR="00396C31" w:rsidRPr="009C02B5">
        <w:rPr>
          <w:iCs/>
          <w:lang w:val="en-US"/>
        </w:rPr>
        <w:t>ing</w:t>
      </w:r>
      <w:r w:rsidR="005E1A81" w:rsidRPr="009C02B5">
        <w:rPr>
          <w:iCs/>
          <w:lang w:val="en-US"/>
        </w:rPr>
        <w:t xml:space="preserve"> the administrative procedures and budget </w:t>
      </w:r>
      <w:r w:rsidR="009B3A9C" w:rsidRPr="009C02B5">
        <w:rPr>
          <w:iCs/>
          <w:lang w:val="en-US"/>
        </w:rPr>
        <w:t xml:space="preserve">required </w:t>
      </w:r>
      <w:r w:rsidR="005E1A81" w:rsidRPr="009C02B5">
        <w:rPr>
          <w:iCs/>
          <w:lang w:val="en-US"/>
        </w:rPr>
        <w:t>to make all Council resolutions accessible, including in easy-to-understand language, as accessibility resources and tools for persons with disabilities, in consultation with and ensuring the active engagement and participation of persons with disabilities and their representative organizations, as well as relevant United Nations entities, including the Office of the High Commissioner, the Department of Economic and Social Affairs of the Secretariat, the Committee on the Rights of Persons with Disabilities and the Special Rapporteur on the rights of persons with disabilities, and other stakeholders such as civil society and representative organizations</w:t>
      </w:r>
      <w:r w:rsidR="005E1A81" w:rsidRPr="009C02B5">
        <w:rPr>
          <w:lang w:val="en-US"/>
        </w:rPr>
        <w:t>;</w:t>
      </w:r>
    </w:p>
    <w:p w14:paraId="36236A3D" w14:textId="458EA22C" w:rsidR="005C1D6D"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457D1" w:rsidRPr="009C02B5">
        <w:rPr>
          <w:lang w:val="en-US"/>
        </w:rPr>
        <w:t>15</w:t>
      </w:r>
      <w:r w:rsidR="006A2DB5" w:rsidRPr="009C02B5">
        <w:rPr>
          <w:lang w:val="en-US"/>
        </w:rPr>
        <w:t xml:space="preserve"> </w:t>
      </w:r>
      <w:r w:rsidR="005C1D6D" w:rsidRPr="009C02B5">
        <w:rPr>
          <w:lang w:val="en-US"/>
        </w:rPr>
        <w:t>.</w:t>
      </w:r>
      <w:proofErr w:type="gramEnd"/>
      <w:r w:rsidR="005C1D6D" w:rsidRPr="009C02B5">
        <w:rPr>
          <w:lang w:val="en-US"/>
        </w:rPr>
        <w:tab/>
      </w:r>
      <w:r w:rsidR="005C1D6D" w:rsidRPr="009C02B5">
        <w:rPr>
          <w:i/>
          <w:iCs/>
          <w:lang w:val="en-US"/>
        </w:rPr>
        <w:t xml:space="preserve">Encourages </w:t>
      </w:r>
      <w:r w:rsidR="005C1D6D" w:rsidRPr="009C02B5">
        <w:rPr>
          <w:lang w:val="en-US"/>
        </w:rPr>
        <w:t>representative organizations of persons with disabilities, civil society, national mechanisms as described in article 33 of the Convention, and national human rights institutions to participate actively in the debates referred to in paragraphs 12 and 13 above and in regular and special sessions of the Human Rights Council and its working groups;</w:t>
      </w:r>
    </w:p>
    <w:p w14:paraId="07AF85EC" w14:textId="0BF04FA6" w:rsidR="005C1D6D"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457D1" w:rsidRPr="009C02B5">
        <w:rPr>
          <w:lang w:val="en-US"/>
        </w:rPr>
        <w:t>16</w:t>
      </w:r>
      <w:r w:rsidR="006A2DB5" w:rsidRPr="009C02B5">
        <w:rPr>
          <w:lang w:val="en-US"/>
        </w:rPr>
        <w:t xml:space="preserve"> </w:t>
      </w:r>
      <w:r w:rsidR="005C1D6D" w:rsidRPr="009C02B5">
        <w:rPr>
          <w:lang w:val="en-US"/>
        </w:rPr>
        <w:t>.</w:t>
      </w:r>
      <w:proofErr w:type="gramEnd"/>
      <w:r w:rsidR="005C1D6D" w:rsidRPr="009C02B5">
        <w:rPr>
          <w:lang w:val="en-US"/>
        </w:rPr>
        <w:tab/>
      </w:r>
      <w:r w:rsidR="005C1D6D" w:rsidRPr="009C02B5">
        <w:rPr>
          <w:i/>
          <w:iCs/>
          <w:lang w:val="en-US"/>
        </w:rPr>
        <w:t xml:space="preserve">Requests </w:t>
      </w:r>
      <w:r w:rsidR="005C1D6D" w:rsidRPr="009C02B5">
        <w:rPr>
          <w:lang w:val="en-US"/>
        </w:rPr>
        <w:t xml:space="preserve">the Secretary-General, the </w:t>
      </w:r>
      <w:r w:rsidR="00713BBE" w:rsidRPr="009C02B5">
        <w:rPr>
          <w:lang w:val="en-US"/>
        </w:rPr>
        <w:t xml:space="preserve">United Nations </w:t>
      </w:r>
      <w:r w:rsidR="005C1D6D" w:rsidRPr="009C02B5">
        <w:rPr>
          <w:lang w:val="en-US"/>
        </w:rPr>
        <w:t xml:space="preserve">High Commissioner </w:t>
      </w:r>
      <w:r w:rsidR="00713BBE" w:rsidRPr="009C02B5">
        <w:rPr>
          <w:lang w:val="en-US"/>
        </w:rPr>
        <w:t xml:space="preserve">for Human Rights </w:t>
      </w:r>
      <w:r w:rsidR="005C1D6D" w:rsidRPr="009C02B5">
        <w:rPr>
          <w:lang w:val="en-US"/>
        </w:rPr>
        <w:t>and United Nations offices to continue to work collaboratively on the progressive implementation of standards and guidelines for the accessibility of facilities and services of the United Nations system, taking into account relevant provisions of the Convention, and underlines that the Human Rights Council, including its Internet resources, should be fully accessible to persons with disabilities;</w:t>
      </w:r>
    </w:p>
    <w:p w14:paraId="73B16774" w14:textId="1D2C48BB" w:rsidR="005C1D6D" w:rsidRPr="009C02B5" w:rsidRDefault="00555C84" w:rsidP="00FE2DBD">
      <w:pPr>
        <w:pStyle w:val="SingleTxtG"/>
        <w:spacing w:line="236" w:lineRule="atLeast"/>
        <w:rPr>
          <w:lang w:val="en-US"/>
        </w:rPr>
      </w:pPr>
      <w:r w:rsidRPr="009C02B5">
        <w:rPr>
          <w:lang w:val="en-US"/>
        </w:rPr>
        <w:tab/>
      </w:r>
      <w:r w:rsidRPr="009C02B5">
        <w:rPr>
          <w:lang w:val="en-US"/>
        </w:rPr>
        <w:tab/>
      </w:r>
      <w:proofErr w:type="gramStart"/>
      <w:r w:rsidR="00B457D1" w:rsidRPr="009C02B5">
        <w:rPr>
          <w:lang w:val="en-US"/>
        </w:rPr>
        <w:t>17</w:t>
      </w:r>
      <w:r w:rsidR="006A2DB5" w:rsidRPr="009C02B5">
        <w:rPr>
          <w:lang w:val="en-US"/>
        </w:rPr>
        <w:t xml:space="preserve"> </w:t>
      </w:r>
      <w:r w:rsidR="005C1D6D" w:rsidRPr="009C02B5">
        <w:rPr>
          <w:lang w:val="en-US"/>
        </w:rPr>
        <w:t>.</w:t>
      </w:r>
      <w:proofErr w:type="gramEnd"/>
      <w:r w:rsidR="005C1D6D" w:rsidRPr="009C02B5">
        <w:rPr>
          <w:lang w:val="en-US"/>
        </w:rPr>
        <w:tab/>
      </w:r>
      <w:r w:rsidR="005C1D6D" w:rsidRPr="009C02B5">
        <w:rPr>
          <w:i/>
          <w:iCs/>
          <w:lang w:val="en-US"/>
        </w:rPr>
        <w:t xml:space="preserve">Requests </w:t>
      </w:r>
      <w:r w:rsidR="005C1D6D" w:rsidRPr="009C02B5">
        <w:rPr>
          <w:lang w:val="en-US"/>
        </w:rPr>
        <w:t xml:space="preserve">the Secretary-General to continue to ensure that the work of the Office of the High Commissioner with respect to the rights of persons with disabilities and the Committee on the Rights of Persons with Disabilities </w:t>
      </w:r>
      <w:r w:rsidR="001E0C89" w:rsidRPr="009C02B5">
        <w:rPr>
          <w:lang w:val="en-US"/>
        </w:rPr>
        <w:t xml:space="preserve">is </w:t>
      </w:r>
      <w:r w:rsidR="005C1D6D" w:rsidRPr="009C02B5">
        <w:rPr>
          <w:lang w:val="en-US"/>
        </w:rPr>
        <w:t>adequately resourced for the fulfilment of their tasks;</w:t>
      </w:r>
    </w:p>
    <w:p w14:paraId="510FF097" w14:textId="46EEF4F7" w:rsidR="00EE06CD" w:rsidRPr="00D9436C" w:rsidRDefault="00555C84" w:rsidP="00FE2DBD">
      <w:pPr>
        <w:pStyle w:val="SingleTxtG"/>
        <w:spacing w:line="236" w:lineRule="atLeast"/>
        <w:rPr>
          <w:lang w:val="en-US"/>
        </w:rPr>
      </w:pPr>
      <w:r w:rsidRPr="009C02B5">
        <w:rPr>
          <w:lang w:val="en-US"/>
        </w:rPr>
        <w:tab/>
      </w:r>
      <w:r w:rsidRPr="009C02B5">
        <w:rPr>
          <w:lang w:val="en-US"/>
        </w:rPr>
        <w:tab/>
      </w:r>
      <w:proofErr w:type="gramStart"/>
      <w:r w:rsidR="00B457D1" w:rsidRPr="009C02B5">
        <w:rPr>
          <w:lang w:val="en-US"/>
        </w:rPr>
        <w:t>18</w:t>
      </w:r>
      <w:r w:rsidR="006A2DB5" w:rsidRPr="009C02B5">
        <w:rPr>
          <w:lang w:val="en-US"/>
        </w:rPr>
        <w:t xml:space="preserve"> </w:t>
      </w:r>
      <w:r w:rsidR="005C1D6D" w:rsidRPr="009C02B5">
        <w:rPr>
          <w:lang w:val="en-US"/>
        </w:rPr>
        <w:t>.</w:t>
      </w:r>
      <w:proofErr w:type="gramEnd"/>
      <w:r w:rsidR="005C1D6D" w:rsidRPr="009C02B5">
        <w:rPr>
          <w:lang w:val="en-US"/>
        </w:rPr>
        <w:tab/>
      </w:r>
      <w:r w:rsidR="005C1D6D" w:rsidRPr="009C02B5">
        <w:rPr>
          <w:i/>
          <w:lang w:val="en-US"/>
        </w:rPr>
        <w:t>Decides</w:t>
      </w:r>
      <w:r w:rsidR="005C1D6D" w:rsidRPr="009C02B5">
        <w:rPr>
          <w:lang w:val="en-US"/>
        </w:rPr>
        <w:t xml:space="preserve"> to remain seized of the matter.</w:t>
      </w:r>
    </w:p>
    <w:p w14:paraId="6B8DC451" w14:textId="45BF4679" w:rsidR="00CF586F" w:rsidRPr="00D9436C" w:rsidRDefault="00555C84" w:rsidP="00FE2DBD">
      <w:pPr>
        <w:spacing w:before="240" w:line="236" w:lineRule="atLeast"/>
        <w:ind w:left="1134" w:right="1134"/>
        <w:jc w:val="center"/>
        <w:rPr>
          <w:u w:val="single"/>
          <w:lang w:val="en-US"/>
        </w:rPr>
      </w:pPr>
      <w:r w:rsidRPr="00D9436C">
        <w:rPr>
          <w:u w:val="single"/>
          <w:lang w:val="en-US"/>
        </w:rPr>
        <w:tab/>
      </w:r>
      <w:r w:rsidRPr="00D9436C">
        <w:rPr>
          <w:u w:val="single"/>
          <w:lang w:val="en-US"/>
        </w:rPr>
        <w:tab/>
      </w:r>
      <w:r w:rsidRPr="00D9436C">
        <w:rPr>
          <w:u w:val="single"/>
          <w:lang w:val="en-US"/>
        </w:rPr>
        <w:tab/>
      </w:r>
      <w:r w:rsidR="00F93C6D" w:rsidRPr="00D9436C">
        <w:rPr>
          <w:u w:val="single"/>
          <w:lang w:val="en-US"/>
        </w:rPr>
        <w:tab/>
      </w:r>
    </w:p>
    <w:sectPr w:rsidR="00CF586F" w:rsidRPr="00D9436C" w:rsidSect="00356705">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FA67" w14:textId="77777777" w:rsidR="00DB47AF" w:rsidRDefault="00DB47AF"/>
  </w:endnote>
  <w:endnote w:type="continuationSeparator" w:id="0">
    <w:p w14:paraId="30FC0931" w14:textId="77777777" w:rsidR="00DB47AF" w:rsidRDefault="00DB47AF"/>
  </w:endnote>
  <w:endnote w:type="continuationNotice" w:id="1">
    <w:p w14:paraId="2FD6486D" w14:textId="77777777" w:rsidR="00DB47AF" w:rsidRDefault="00DB4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31C73A54"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5E1A81">
      <w:rPr>
        <w:b/>
        <w:noProof/>
        <w:sz w:val="18"/>
      </w:rPr>
      <w:t>6</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2811D2F2"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5E1A81">
      <w:rPr>
        <w:b/>
        <w:noProof/>
        <w:sz w:val="18"/>
      </w:rPr>
      <w:t>7</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1099" w14:textId="226B745A" w:rsidR="001940F4" w:rsidRDefault="002E4CEF" w:rsidP="002E4CEF">
    <w:pPr>
      <w:pStyle w:val="Footer"/>
      <w:ind w:right="1134"/>
      <w:rPr>
        <w:sz w:val="20"/>
      </w:rPr>
    </w:pPr>
    <w:r w:rsidRPr="002E4CEF">
      <w:rPr>
        <w:noProof/>
        <w:sz w:val="20"/>
        <w:lang w:val="en-US" w:eastAsia="zh-CN"/>
      </w:rPr>
      <w:drawing>
        <wp:anchor distT="0" distB="0" distL="114300" distR="114300" simplePos="0" relativeHeight="251658240" behindDoc="1" locked="1" layoutInCell="1" allowOverlap="1" wp14:anchorId="0F5B6C4D" wp14:editId="41568403">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04C1" w14:textId="77777777" w:rsidR="00DB47AF" w:rsidRPr="000B175B" w:rsidRDefault="00DB47AF" w:rsidP="000B175B">
      <w:pPr>
        <w:tabs>
          <w:tab w:val="right" w:pos="2155"/>
        </w:tabs>
        <w:spacing w:after="80"/>
        <w:ind w:left="680"/>
        <w:rPr>
          <w:u w:val="single"/>
        </w:rPr>
      </w:pPr>
      <w:r>
        <w:rPr>
          <w:u w:val="single"/>
        </w:rPr>
        <w:tab/>
      </w:r>
    </w:p>
  </w:footnote>
  <w:footnote w:type="continuationSeparator" w:id="0">
    <w:p w14:paraId="18A4153F" w14:textId="77777777" w:rsidR="00DB47AF" w:rsidRPr="00FC68B7" w:rsidRDefault="00DB47AF" w:rsidP="00FC68B7">
      <w:pPr>
        <w:tabs>
          <w:tab w:val="left" w:pos="2155"/>
        </w:tabs>
        <w:spacing w:after="80"/>
        <w:ind w:left="680"/>
        <w:rPr>
          <w:u w:val="single"/>
        </w:rPr>
      </w:pPr>
      <w:r>
        <w:rPr>
          <w:u w:val="single"/>
        </w:rPr>
        <w:tab/>
      </w:r>
    </w:p>
  </w:footnote>
  <w:footnote w:type="continuationNotice" w:id="1">
    <w:p w14:paraId="6460009C" w14:textId="77777777" w:rsidR="00DB47AF" w:rsidRDefault="00DB47AF"/>
  </w:footnote>
  <w:footnote w:id="2">
    <w:p w14:paraId="6A60FDBF" w14:textId="28C654FD" w:rsidR="0037708F" w:rsidRDefault="0037708F" w:rsidP="0037708F">
      <w:pPr>
        <w:pStyle w:val="FootnoteText"/>
        <w:widowControl w:val="0"/>
        <w:tabs>
          <w:tab w:val="clear" w:pos="1021"/>
          <w:tab w:val="right" w:pos="1020"/>
        </w:tabs>
      </w:pPr>
      <w:r>
        <w:tab/>
      </w:r>
      <w:r>
        <w:rPr>
          <w:rStyle w:val="FootnoteReference"/>
        </w:rPr>
        <w:footnoteRef/>
      </w:r>
      <w:r>
        <w:tab/>
      </w:r>
      <w:bookmarkStart w:id="3" w:name="OLE_LINK39"/>
      <w:bookmarkStart w:id="4" w:name="OLE_LINK44"/>
      <w:r w:rsidRPr="0037708F">
        <w:rPr>
          <w:lang w:val="en-US"/>
        </w:rPr>
        <w:t>A/HRC</w:t>
      </w:r>
      <w:r w:rsidR="001A2FCF">
        <w:rPr>
          <w:lang w:val="en-US"/>
        </w:rPr>
        <w:t>/</w:t>
      </w:r>
      <w:r w:rsidRPr="0037708F">
        <w:rPr>
          <w:lang w:val="en-US"/>
        </w:rPr>
        <w:t>5</w:t>
      </w:r>
      <w:r w:rsidR="006B7EE3">
        <w:rPr>
          <w:lang w:val="en-US"/>
        </w:rPr>
        <w:t>8</w:t>
      </w:r>
      <w:r w:rsidRPr="0037708F">
        <w:rPr>
          <w:lang w:val="en-US"/>
        </w:rPr>
        <w:t>/</w:t>
      </w:r>
      <w:bookmarkEnd w:id="3"/>
      <w:bookmarkEnd w:id="4"/>
      <w:r w:rsidR="005231E7">
        <w:rPr>
          <w:lang w:val="en-US"/>
        </w:rPr>
        <w:t>56</w:t>
      </w:r>
      <w:r w:rsidRPr="0037708F">
        <w:rPr>
          <w:lang w:val="en-US"/>
        </w:rPr>
        <w:t>, A/7</w:t>
      </w:r>
      <w:r w:rsidR="005231E7">
        <w:rPr>
          <w:lang w:val="en-US"/>
        </w:rPr>
        <w:t>9</w:t>
      </w:r>
      <w:r w:rsidRPr="0037708F">
        <w:rPr>
          <w:lang w:val="en-US"/>
        </w:rPr>
        <w:t>/17</w:t>
      </w:r>
      <w:r w:rsidR="005231E7">
        <w:rPr>
          <w:lang w:val="en-US"/>
        </w:rPr>
        <w:t>9, A/80/</w:t>
      </w:r>
      <w:r w:rsidR="00950A4E">
        <w:rPr>
          <w:lang w:val="en-US"/>
        </w:rPr>
        <w:t>170</w:t>
      </w:r>
      <w:r w:rsidRPr="0037708F">
        <w:rPr>
          <w:lang w:val="en-US"/>
        </w:rPr>
        <w:t xml:space="preserve"> and A/HRC/</w:t>
      </w:r>
      <w:r w:rsidR="00950A4E">
        <w:rPr>
          <w:lang w:val="en-US"/>
        </w:rPr>
        <w:t>61</w:t>
      </w:r>
      <w:r w:rsidRPr="0037708F">
        <w:rPr>
          <w:lang w:val="en-US"/>
        </w:rPr>
        <w:t>/</w:t>
      </w:r>
      <w:r w:rsidR="008F6BF0">
        <w:rPr>
          <w:lang w:val="en-US"/>
        </w:rPr>
        <w:t>46</w:t>
      </w:r>
      <w:r w:rsidRPr="0037708F">
        <w:rPr>
          <w:lang w:val="en-US"/>
        </w:rPr>
        <w:t>.</w:t>
      </w:r>
    </w:p>
  </w:footnote>
  <w:footnote w:id="3">
    <w:p w14:paraId="61259994" w14:textId="299D824B" w:rsidR="00C13C9F" w:rsidRPr="00B5764F" w:rsidRDefault="00C13C9F" w:rsidP="00B5764F">
      <w:pPr>
        <w:pStyle w:val="FootnoteText"/>
        <w:widowControl w:val="0"/>
        <w:tabs>
          <w:tab w:val="clear" w:pos="1021"/>
          <w:tab w:val="right" w:pos="1020"/>
        </w:tabs>
        <w:rPr>
          <w:lang w:val="en-US"/>
        </w:rPr>
      </w:pPr>
      <w:r>
        <w:tab/>
      </w:r>
      <w:r>
        <w:rPr>
          <w:rStyle w:val="FootnoteReference"/>
        </w:rPr>
        <w:footnoteRef/>
      </w:r>
      <w:r>
        <w:tab/>
        <w:t xml:space="preserve">CRPD/C/5. </w:t>
      </w:r>
    </w:p>
  </w:footnote>
  <w:footnote w:id="4">
    <w:p w14:paraId="594FECB3" w14:textId="5BB72EA6" w:rsidR="0037708F" w:rsidRDefault="0037708F" w:rsidP="0037708F">
      <w:pPr>
        <w:pStyle w:val="FootnoteText"/>
        <w:widowControl w:val="0"/>
        <w:tabs>
          <w:tab w:val="clear" w:pos="1021"/>
          <w:tab w:val="right" w:pos="1020"/>
        </w:tabs>
      </w:pPr>
      <w:r>
        <w:tab/>
      </w:r>
      <w:r>
        <w:rPr>
          <w:rStyle w:val="FootnoteReference"/>
        </w:rPr>
        <w:footnoteRef/>
      </w:r>
      <w:r>
        <w:tab/>
      </w:r>
      <w:bookmarkStart w:id="6" w:name="OLE_LINK40"/>
      <w:bookmarkStart w:id="7" w:name="OLE_LINK41"/>
      <w:r w:rsidRPr="0037708F">
        <w:rPr>
          <w:lang w:val="en-US"/>
        </w:rPr>
        <w:t>A/HRC/</w:t>
      </w:r>
      <w:r w:rsidR="0079627B">
        <w:t>61/32</w:t>
      </w:r>
      <w:r w:rsidRPr="0037708F">
        <w:t>.</w:t>
      </w:r>
      <w:bookmarkEnd w:id="6"/>
      <w:bookmarkEnd w:id="7"/>
    </w:p>
  </w:footnote>
  <w:footnote w:id="5">
    <w:p w14:paraId="74B1498A" w14:textId="559A06EA" w:rsidR="0037708F" w:rsidRDefault="0037708F" w:rsidP="0037708F">
      <w:pPr>
        <w:pStyle w:val="FootnoteText"/>
        <w:widowControl w:val="0"/>
        <w:tabs>
          <w:tab w:val="clear" w:pos="1021"/>
          <w:tab w:val="right" w:pos="1020"/>
        </w:tabs>
      </w:pPr>
      <w:r>
        <w:tab/>
      </w:r>
      <w:r>
        <w:rPr>
          <w:rStyle w:val="FootnoteReference"/>
        </w:rPr>
        <w:footnoteRef/>
      </w:r>
      <w:r>
        <w:tab/>
      </w:r>
      <w:bookmarkStart w:id="9" w:name="OLE_LINK42"/>
      <w:bookmarkStart w:id="10" w:name="OLE_LINK43"/>
      <w:r w:rsidRPr="0037708F">
        <w:rPr>
          <w:lang w:val="en-US"/>
        </w:rPr>
        <w:t>A/HRC/</w:t>
      </w:r>
      <w:r w:rsidR="005E01F3">
        <w:t>58/33</w:t>
      </w:r>
      <w:bookmarkEnd w:id="9"/>
      <w:bookmarkEnd w:id="10"/>
      <w:r w:rsidRPr="0037708F">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01766093"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241016D"/>
    <w:multiLevelType w:val="hybridMultilevel"/>
    <w:tmpl w:val="D4A69FA6"/>
    <w:lvl w:ilvl="0" w:tplc="EC9A6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5737522">
    <w:abstractNumId w:val="5"/>
  </w:num>
  <w:num w:numId="2" w16cid:durableId="1193225719">
    <w:abstractNumId w:val="4"/>
  </w:num>
  <w:num w:numId="3" w16cid:durableId="204486862">
    <w:abstractNumId w:val="7"/>
  </w:num>
  <w:num w:numId="4" w16cid:durableId="2052459132">
    <w:abstractNumId w:val="3"/>
  </w:num>
  <w:num w:numId="5" w16cid:durableId="880215430">
    <w:abstractNumId w:val="0"/>
  </w:num>
  <w:num w:numId="6" w16cid:durableId="774641347">
    <w:abstractNumId w:val="1"/>
  </w:num>
  <w:num w:numId="7" w16cid:durableId="1386222166">
    <w:abstractNumId w:val="6"/>
  </w:num>
  <w:num w:numId="8" w16cid:durableId="2100909665">
    <w:abstractNumId w:val="2"/>
  </w:num>
  <w:num w:numId="9" w16cid:durableId="8906529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0FA1"/>
    <w:rsid w:val="000011A2"/>
    <w:rsid w:val="00004247"/>
    <w:rsid w:val="0000470E"/>
    <w:rsid w:val="00007008"/>
    <w:rsid w:val="00007F7F"/>
    <w:rsid w:val="000166DC"/>
    <w:rsid w:val="00020AB9"/>
    <w:rsid w:val="00021DD1"/>
    <w:rsid w:val="00022DB5"/>
    <w:rsid w:val="000237D8"/>
    <w:rsid w:val="00023B5F"/>
    <w:rsid w:val="00030220"/>
    <w:rsid w:val="00030CBE"/>
    <w:rsid w:val="000403D1"/>
    <w:rsid w:val="000403EC"/>
    <w:rsid w:val="0004206E"/>
    <w:rsid w:val="000425EC"/>
    <w:rsid w:val="000449AA"/>
    <w:rsid w:val="00045EBF"/>
    <w:rsid w:val="00047501"/>
    <w:rsid w:val="00047B46"/>
    <w:rsid w:val="00050F6B"/>
    <w:rsid w:val="0005662A"/>
    <w:rsid w:val="0006126B"/>
    <w:rsid w:val="000629BB"/>
    <w:rsid w:val="000648A2"/>
    <w:rsid w:val="00070F54"/>
    <w:rsid w:val="000714CA"/>
    <w:rsid w:val="00072A3E"/>
    <w:rsid w:val="00072C8C"/>
    <w:rsid w:val="00073AC7"/>
    <w:rsid w:val="00073E70"/>
    <w:rsid w:val="000876EB"/>
    <w:rsid w:val="00087D4F"/>
    <w:rsid w:val="000912C2"/>
    <w:rsid w:val="00091419"/>
    <w:rsid w:val="000931C0"/>
    <w:rsid w:val="00095C05"/>
    <w:rsid w:val="00096213"/>
    <w:rsid w:val="00096890"/>
    <w:rsid w:val="00096BBE"/>
    <w:rsid w:val="0009700A"/>
    <w:rsid w:val="000977E5"/>
    <w:rsid w:val="000978B8"/>
    <w:rsid w:val="000A1826"/>
    <w:rsid w:val="000A2C14"/>
    <w:rsid w:val="000A48FB"/>
    <w:rsid w:val="000B08B2"/>
    <w:rsid w:val="000B175B"/>
    <w:rsid w:val="000B1B53"/>
    <w:rsid w:val="000B2851"/>
    <w:rsid w:val="000B3A0F"/>
    <w:rsid w:val="000B4A3B"/>
    <w:rsid w:val="000B547E"/>
    <w:rsid w:val="000B73F0"/>
    <w:rsid w:val="000B73F8"/>
    <w:rsid w:val="000C04D7"/>
    <w:rsid w:val="000C17C7"/>
    <w:rsid w:val="000C4F30"/>
    <w:rsid w:val="000C59D8"/>
    <w:rsid w:val="000D1851"/>
    <w:rsid w:val="000D25A6"/>
    <w:rsid w:val="000D3C70"/>
    <w:rsid w:val="000D780A"/>
    <w:rsid w:val="000E0415"/>
    <w:rsid w:val="000E049C"/>
    <w:rsid w:val="000E0C80"/>
    <w:rsid w:val="000E30C7"/>
    <w:rsid w:val="000E556B"/>
    <w:rsid w:val="000F687E"/>
    <w:rsid w:val="000F6FDC"/>
    <w:rsid w:val="0012025C"/>
    <w:rsid w:val="00122538"/>
    <w:rsid w:val="00122857"/>
    <w:rsid w:val="00124733"/>
    <w:rsid w:val="00125EDF"/>
    <w:rsid w:val="00126F34"/>
    <w:rsid w:val="001336E4"/>
    <w:rsid w:val="0014138E"/>
    <w:rsid w:val="00143715"/>
    <w:rsid w:val="00146D32"/>
    <w:rsid w:val="00147D05"/>
    <w:rsid w:val="00147D1F"/>
    <w:rsid w:val="0015026F"/>
    <w:rsid w:val="001509BA"/>
    <w:rsid w:val="00150EC1"/>
    <w:rsid w:val="00154A71"/>
    <w:rsid w:val="001561A3"/>
    <w:rsid w:val="00160099"/>
    <w:rsid w:val="001678EB"/>
    <w:rsid w:val="00172159"/>
    <w:rsid w:val="001727DE"/>
    <w:rsid w:val="00172CD8"/>
    <w:rsid w:val="00175F5C"/>
    <w:rsid w:val="001940F4"/>
    <w:rsid w:val="00195C64"/>
    <w:rsid w:val="00196C0F"/>
    <w:rsid w:val="00197563"/>
    <w:rsid w:val="001A28CD"/>
    <w:rsid w:val="001A2DC2"/>
    <w:rsid w:val="001A2FCF"/>
    <w:rsid w:val="001A3231"/>
    <w:rsid w:val="001A3C2B"/>
    <w:rsid w:val="001A524C"/>
    <w:rsid w:val="001A5A79"/>
    <w:rsid w:val="001B470C"/>
    <w:rsid w:val="001B4B04"/>
    <w:rsid w:val="001B5F80"/>
    <w:rsid w:val="001B7407"/>
    <w:rsid w:val="001C0B84"/>
    <w:rsid w:val="001C6663"/>
    <w:rsid w:val="001C7895"/>
    <w:rsid w:val="001C7ACB"/>
    <w:rsid w:val="001C7C98"/>
    <w:rsid w:val="001D26DF"/>
    <w:rsid w:val="001D3525"/>
    <w:rsid w:val="001E0C89"/>
    <w:rsid w:val="001E2790"/>
    <w:rsid w:val="001E71EE"/>
    <w:rsid w:val="001F42C7"/>
    <w:rsid w:val="001F569E"/>
    <w:rsid w:val="0020087E"/>
    <w:rsid w:val="002016A4"/>
    <w:rsid w:val="00211E0B"/>
    <w:rsid w:val="00211E72"/>
    <w:rsid w:val="00214047"/>
    <w:rsid w:val="00216E5F"/>
    <w:rsid w:val="00217B04"/>
    <w:rsid w:val="0022130F"/>
    <w:rsid w:val="002257F6"/>
    <w:rsid w:val="00226299"/>
    <w:rsid w:val="00233AD7"/>
    <w:rsid w:val="00235993"/>
    <w:rsid w:val="002370BC"/>
    <w:rsid w:val="00237785"/>
    <w:rsid w:val="00237932"/>
    <w:rsid w:val="002407FA"/>
    <w:rsid w:val="00240AC4"/>
    <w:rsid w:val="002410DD"/>
    <w:rsid w:val="0024118A"/>
    <w:rsid w:val="00241466"/>
    <w:rsid w:val="00245443"/>
    <w:rsid w:val="00245566"/>
    <w:rsid w:val="00250367"/>
    <w:rsid w:val="00253D58"/>
    <w:rsid w:val="00255E27"/>
    <w:rsid w:val="002568BF"/>
    <w:rsid w:val="00262059"/>
    <w:rsid w:val="00271B8F"/>
    <w:rsid w:val="00271C85"/>
    <w:rsid w:val="002758B4"/>
    <w:rsid w:val="0027725F"/>
    <w:rsid w:val="00283381"/>
    <w:rsid w:val="00284A2C"/>
    <w:rsid w:val="002858E9"/>
    <w:rsid w:val="00287F6E"/>
    <w:rsid w:val="0029007F"/>
    <w:rsid w:val="002926E9"/>
    <w:rsid w:val="002929B6"/>
    <w:rsid w:val="002950BF"/>
    <w:rsid w:val="0029651D"/>
    <w:rsid w:val="002A13AE"/>
    <w:rsid w:val="002A4919"/>
    <w:rsid w:val="002A6A49"/>
    <w:rsid w:val="002A7BAB"/>
    <w:rsid w:val="002B00BC"/>
    <w:rsid w:val="002B00FF"/>
    <w:rsid w:val="002B2622"/>
    <w:rsid w:val="002B4931"/>
    <w:rsid w:val="002C0EBC"/>
    <w:rsid w:val="002C21F0"/>
    <w:rsid w:val="002C2F77"/>
    <w:rsid w:val="002C6B35"/>
    <w:rsid w:val="002D5744"/>
    <w:rsid w:val="002D64BA"/>
    <w:rsid w:val="002E3041"/>
    <w:rsid w:val="002E38C7"/>
    <w:rsid w:val="002E4CEF"/>
    <w:rsid w:val="002E61BF"/>
    <w:rsid w:val="002E7FD5"/>
    <w:rsid w:val="002F07EB"/>
    <w:rsid w:val="002F0BC7"/>
    <w:rsid w:val="002F7ECC"/>
    <w:rsid w:val="00302005"/>
    <w:rsid w:val="00302856"/>
    <w:rsid w:val="00304CB5"/>
    <w:rsid w:val="00304F82"/>
    <w:rsid w:val="00306658"/>
    <w:rsid w:val="003107FA"/>
    <w:rsid w:val="00312E03"/>
    <w:rsid w:val="00314252"/>
    <w:rsid w:val="003226BD"/>
    <w:rsid w:val="003229D8"/>
    <w:rsid w:val="00323D1C"/>
    <w:rsid w:val="00325AA3"/>
    <w:rsid w:val="0032680D"/>
    <w:rsid w:val="00330F41"/>
    <w:rsid w:val="003314D1"/>
    <w:rsid w:val="003320D2"/>
    <w:rsid w:val="0033314C"/>
    <w:rsid w:val="00335A2F"/>
    <w:rsid w:val="003363D9"/>
    <w:rsid w:val="003409CF"/>
    <w:rsid w:val="00341937"/>
    <w:rsid w:val="00341A6A"/>
    <w:rsid w:val="00346742"/>
    <w:rsid w:val="00356705"/>
    <w:rsid w:val="003600CA"/>
    <w:rsid w:val="0036124A"/>
    <w:rsid w:val="00364ECF"/>
    <w:rsid w:val="00365339"/>
    <w:rsid w:val="003659A5"/>
    <w:rsid w:val="00365E5F"/>
    <w:rsid w:val="00366AF5"/>
    <w:rsid w:val="0036744E"/>
    <w:rsid w:val="0037077A"/>
    <w:rsid w:val="00370978"/>
    <w:rsid w:val="00374A13"/>
    <w:rsid w:val="00374D52"/>
    <w:rsid w:val="0037708F"/>
    <w:rsid w:val="00377267"/>
    <w:rsid w:val="00380312"/>
    <w:rsid w:val="003822B2"/>
    <w:rsid w:val="00385A8C"/>
    <w:rsid w:val="0039277A"/>
    <w:rsid w:val="003938FD"/>
    <w:rsid w:val="00393C35"/>
    <w:rsid w:val="0039556A"/>
    <w:rsid w:val="00395D5F"/>
    <w:rsid w:val="00396C31"/>
    <w:rsid w:val="003972E0"/>
    <w:rsid w:val="003975ED"/>
    <w:rsid w:val="003A0820"/>
    <w:rsid w:val="003A73E8"/>
    <w:rsid w:val="003A7ADB"/>
    <w:rsid w:val="003B4EBA"/>
    <w:rsid w:val="003C2CC4"/>
    <w:rsid w:val="003C4047"/>
    <w:rsid w:val="003C47CC"/>
    <w:rsid w:val="003C6596"/>
    <w:rsid w:val="003C74E0"/>
    <w:rsid w:val="003D03F7"/>
    <w:rsid w:val="003D4B23"/>
    <w:rsid w:val="003E01D8"/>
    <w:rsid w:val="003E18D0"/>
    <w:rsid w:val="003E28AA"/>
    <w:rsid w:val="003E76FA"/>
    <w:rsid w:val="003F08C4"/>
    <w:rsid w:val="003F460A"/>
    <w:rsid w:val="003F4822"/>
    <w:rsid w:val="0040318C"/>
    <w:rsid w:val="00407C77"/>
    <w:rsid w:val="00413235"/>
    <w:rsid w:val="00416FCC"/>
    <w:rsid w:val="00420449"/>
    <w:rsid w:val="00423EEA"/>
    <w:rsid w:val="00424C80"/>
    <w:rsid w:val="004253A4"/>
    <w:rsid w:val="004325CB"/>
    <w:rsid w:val="00437B14"/>
    <w:rsid w:val="004403AC"/>
    <w:rsid w:val="00442913"/>
    <w:rsid w:val="0044503A"/>
    <w:rsid w:val="00446DE4"/>
    <w:rsid w:val="004473AE"/>
    <w:rsid w:val="00447761"/>
    <w:rsid w:val="00451EC3"/>
    <w:rsid w:val="0045235E"/>
    <w:rsid w:val="00452E9B"/>
    <w:rsid w:val="00453C09"/>
    <w:rsid w:val="00457205"/>
    <w:rsid w:val="004572FE"/>
    <w:rsid w:val="004574A6"/>
    <w:rsid w:val="0046024F"/>
    <w:rsid w:val="004643C3"/>
    <w:rsid w:val="00465915"/>
    <w:rsid w:val="00465BA7"/>
    <w:rsid w:val="00470FBA"/>
    <w:rsid w:val="004721B1"/>
    <w:rsid w:val="00474C7A"/>
    <w:rsid w:val="0047528B"/>
    <w:rsid w:val="00481C35"/>
    <w:rsid w:val="00482A73"/>
    <w:rsid w:val="004859EC"/>
    <w:rsid w:val="00490133"/>
    <w:rsid w:val="0049217B"/>
    <w:rsid w:val="00494480"/>
    <w:rsid w:val="0049462C"/>
    <w:rsid w:val="0049555E"/>
    <w:rsid w:val="00496A15"/>
    <w:rsid w:val="004A28BF"/>
    <w:rsid w:val="004A35F4"/>
    <w:rsid w:val="004A52F9"/>
    <w:rsid w:val="004A7CF2"/>
    <w:rsid w:val="004B35C0"/>
    <w:rsid w:val="004B5826"/>
    <w:rsid w:val="004B75D2"/>
    <w:rsid w:val="004D1140"/>
    <w:rsid w:val="004D28BE"/>
    <w:rsid w:val="004D6CAB"/>
    <w:rsid w:val="004E0FDC"/>
    <w:rsid w:val="004E3987"/>
    <w:rsid w:val="004E579F"/>
    <w:rsid w:val="004E5F83"/>
    <w:rsid w:val="004F2754"/>
    <w:rsid w:val="004F55ED"/>
    <w:rsid w:val="004F56A6"/>
    <w:rsid w:val="0050245C"/>
    <w:rsid w:val="00502B84"/>
    <w:rsid w:val="00510AE3"/>
    <w:rsid w:val="00513C01"/>
    <w:rsid w:val="00514EA6"/>
    <w:rsid w:val="00517514"/>
    <w:rsid w:val="00520595"/>
    <w:rsid w:val="0052176C"/>
    <w:rsid w:val="005231E7"/>
    <w:rsid w:val="005261E5"/>
    <w:rsid w:val="00526365"/>
    <w:rsid w:val="00532525"/>
    <w:rsid w:val="00532825"/>
    <w:rsid w:val="00536E36"/>
    <w:rsid w:val="005420F2"/>
    <w:rsid w:val="00542574"/>
    <w:rsid w:val="005436AB"/>
    <w:rsid w:val="00546924"/>
    <w:rsid w:val="00546DBF"/>
    <w:rsid w:val="00547085"/>
    <w:rsid w:val="00553D76"/>
    <w:rsid w:val="00553FD4"/>
    <w:rsid w:val="005552B5"/>
    <w:rsid w:val="005558DE"/>
    <w:rsid w:val="00555C84"/>
    <w:rsid w:val="00557934"/>
    <w:rsid w:val="00560862"/>
    <w:rsid w:val="00560CFA"/>
    <w:rsid w:val="0056117B"/>
    <w:rsid w:val="00562621"/>
    <w:rsid w:val="00563E35"/>
    <w:rsid w:val="00563EDA"/>
    <w:rsid w:val="00571365"/>
    <w:rsid w:val="005745CD"/>
    <w:rsid w:val="00576D26"/>
    <w:rsid w:val="005776BD"/>
    <w:rsid w:val="00583FFF"/>
    <w:rsid w:val="00587CC6"/>
    <w:rsid w:val="005901EF"/>
    <w:rsid w:val="005930DC"/>
    <w:rsid w:val="00595C28"/>
    <w:rsid w:val="005A0E16"/>
    <w:rsid w:val="005A13C8"/>
    <w:rsid w:val="005B1346"/>
    <w:rsid w:val="005B3DB3"/>
    <w:rsid w:val="005B6E48"/>
    <w:rsid w:val="005B7730"/>
    <w:rsid w:val="005B78E1"/>
    <w:rsid w:val="005B7D8A"/>
    <w:rsid w:val="005C1281"/>
    <w:rsid w:val="005C1D6D"/>
    <w:rsid w:val="005C6B5A"/>
    <w:rsid w:val="005D1196"/>
    <w:rsid w:val="005D3243"/>
    <w:rsid w:val="005D3369"/>
    <w:rsid w:val="005D4101"/>
    <w:rsid w:val="005D53BE"/>
    <w:rsid w:val="005D6EA2"/>
    <w:rsid w:val="005E01F3"/>
    <w:rsid w:val="005E08D4"/>
    <w:rsid w:val="005E1712"/>
    <w:rsid w:val="005E1A81"/>
    <w:rsid w:val="005E6620"/>
    <w:rsid w:val="005F0993"/>
    <w:rsid w:val="005F4C5D"/>
    <w:rsid w:val="005F5869"/>
    <w:rsid w:val="005F5BCD"/>
    <w:rsid w:val="00600CC6"/>
    <w:rsid w:val="00603289"/>
    <w:rsid w:val="00606DC5"/>
    <w:rsid w:val="00611FC4"/>
    <w:rsid w:val="006176FB"/>
    <w:rsid w:val="00620FE5"/>
    <w:rsid w:val="006255A8"/>
    <w:rsid w:val="0062575D"/>
    <w:rsid w:val="00625FA2"/>
    <w:rsid w:val="0062658C"/>
    <w:rsid w:val="006302BD"/>
    <w:rsid w:val="0063035E"/>
    <w:rsid w:val="00633E11"/>
    <w:rsid w:val="00636416"/>
    <w:rsid w:val="00640B26"/>
    <w:rsid w:val="00646DCA"/>
    <w:rsid w:val="00650FEA"/>
    <w:rsid w:val="006535F9"/>
    <w:rsid w:val="00653A9F"/>
    <w:rsid w:val="00655B60"/>
    <w:rsid w:val="00661423"/>
    <w:rsid w:val="00662A43"/>
    <w:rsid w:val="006659DE"/>
    <w:rsid w:val="00666EFB"/>
    <w:rsid w:val="00670741"/>
    <w:rsid w:val="0067222F"/>
    <w:rsid w:val="006746BC"/>
    <w:rsid w:val="00674704"/>
    <w:rsid w:val="00681722"/>
    <w:rsid w:val="00685B91"/>
    <w:rsid w:val="006866BC"/>
    <w:rsid w:val="00687F3E"/>
    <w:rsid w:val="00693E66"/>
    <w:rsid w:val="00696BD6"/>
    <w:rsid w:val="006A027C"/>
    <w:rsid w:val="006A0E6B"/>
    <w:rsid w:val="006A2548"/>
    <w:rsid w:val="006A2DB5"/>
    <w:rsid w:val="006A6B9D"/>
    <w:rsid w:val="006A7392"/>
    <w:rsid w:val="006B3189"/>
    <w:rsid w:val="006B5B97"/>
    <w:rsid w:val="006B5BF0"/>
    <w:rsid w:val="006B6779"/>
    <w:rsid w:val="006B7D65"/>
    <w:rsid w:val="006B7EE3"/>
    <w:rsid w:val="006C71A9"/>
    <w:rsid w:val="006D02D0"/>
    <w:rsid w:val="006D40A3"/>
    <w:rsid w:val="006D6DA6"/>
    <w:rsid w:val="006E0C7E"/>
    <w:rsid w:val="006E5204"/>
    <w:rsid w:val="006E564B"/>
    <w:rsid w:val="006E67FE"/>
    <w:rsid w:val="006F11FA"/>
    <w:rsid w:val="006F13F0"/>
    <w:rsid w:val="006F153B"/>
    <w:rsid w:val="006F305F"/>
    <w:rsid w:val="006F5035"/>
    <w:rsid w:val="006F695D"/>
    <w:rsid w:val="00701F4D"/>
    <w:rsid w:val="00705D79"/>
    <w:rsid w:val="00705D84"/>
    <w:rsid w:val="007065EB"/>
    <w:rsid w:val="00711D4B"/>
    <w:rsid w:val="00713BBE"/>
    <w:rsid w:val="00714D9D"/>
    <w:rsid w:val="00716288"/>
    <w:rsid w:val="00717C9F"/>
    <w:rsid w:val="00717CF9"/>
    <w:rsid w:val="00720183"/>
    <w:rsid w:val="00723953"/>
    <w:rsid w:val="0072632A"/>
    <w:rsid w:val="007333F5"/>
    <w:rsid w:val="0073472F"/>
    <w:rsid w:val="007350E9"/>
    <w:rsid w:val="007403AE"/>
    <w:rsid w:val="0074200B"/>
    <w:rsid w:val="00743702"/>
    <w:rsid w:val="00743BDB"/>
    <w:rsid w:val="00743EAF"/>
    <w:rsid w:val="0075240D"/>
    <w:rsid w:val="0075291C"/>
    <w:rsid w:val="0075350D"/>
    <w:rsid w:val="0076771D"/>
    <w:rsid w:val="00770773"/>
    <w:rsid w:val="007734DA"/>
    <w:rsid w:val="0077421E"/>
    <w:rsid w:val="00777C3B"/>
    <w:rsid w:val="0078201C"/>
    <w:rsid w:val="00784C7C"/>
    <w:rsid w:val="00787F20"/>
    <w:rsid w:val="0079225B"/>
    <w:rsid w:val="007952B8"/>
    <w:rsid w:val="007955C6"/>
    <w:rsid w:val="0079627B"/>
    <w:rsid w:val="007A11A5"/>
    <w:rsid w:val="007A2486"/>
    <w:rsid w:val="007A41E6"/>
    <w:rsid w:val="007A6296"/>
    <w:rsid w:val="007A651E"/>
    <w:rsid w:val="007A79E4"/>
    <w:rsid w:val="007B0675"/>
    <w:rsid w:val="007B08D7"/>
    <w:rsid w:val="007B1176"/>
    <w:rsid w:val="007B6BA5"/>
    <w:rsid w:val="007B7ACF"/>
    <w:rsid w:val="007C06B7"/>
    <w:rsid w:val="007C1B62"/>
    <w:rsid w:val="007C2E8D"/>
    <w:rsid w:val="007C3390"/>
    <w:rsid w:val="007C4F4B"/>
    <w:rsid w:val="007C7883"/>
    <w:rsid w:val="007D0E77"/>
    <w:rsid w:val="007D1956"/>
    <w:rsid w:val="007D2CDC"/>
    <w:rsid w:val="007D5327"/>
    <w:rsid w:val="007D6995"/>
    <w:rsid w:val="007D6BD9"/>
    <w:rsid w:val="007D7180"/>
    <w:rsid w:val="007E17BC"/>
    <w:rsid w:val="007E5498"/>
    <w:rsid w:val="007F0827"/>
    <w:rsid w:val="007F3DBF"/>
    <w:rsid w:val="007F4576"/>
    <w:rsid w:val="007F5303"/>
    <w:rsid w:val="007F5FBE"/>
    <w:rsid w:val="007F6611"/>
    <w:rsid w:val="008024BB"/>
    <w:rsid w:val="008047FD"/>
    <w:rsid w:val="00805119"/>
    <w:rsid w:val="00810E28"/>
    <w:rsid w:val="00812AEC"/>
    <w:rsid w:val="008149BA"/>
    <w:rsid w:val="008155C3"/>
    <w:rsid w:val="00816F7A"/>
    <w:rsid w:val="008175E9"/>
    <w:rsid w:val="0082025B"/>
    <w:rsid w:val="0082243E"/>
    <w:rsid w:val="008242D7"/>
    <w:rsid w:val="00831768"/>
    <w:rsid w:val="008443AF"/>
    <w:rsid w:val="00845BE9"/>
    <w:rsid w:val="00846134"/>
    <w:rsid w:val="00846BBB"/>
    <w:rsid w:val="00846ED2"/>
    <w:rsid w:val="00850024"/>
    <w:rsid w:val="008518F3"/>
    <w:rsid w:val="00851BCD"/>
    <w:rsid w:val="008530B8"/>
    <w:rsid w:val="00856CD2"/>
    <w:rsid w:val="00860460"/>
    <w:rsid w:val="00860C5B"/>
    <w:rsid w:val="00861BC6"/>
    <w:rsid w:val="008638C8"/>
    <w:rsid w:val="008664E5"/>
    <w:rsid w:val="00867E33"/>
    <w:rsid w:val="00867EC7"/>
    <w:rsid w:val="00871FD5"/>
    <w:rsid w:val="008769CA"/>
    <w:rsid w:val="00880D54"/>
    <w:rsid w:val="0088344D"/>
    <w:rsid w:val="008845E5"/>
    <w:rsid w:val="008847BB"/>
    <w:rsid w:val="00891252"/>
    <w:rsid w:val="00893850"/>
    <w:rsid w:val="00894BA7"/>
    <w:rsid w:val="00896490"/>
    <w:rsid w:val="008979B1"/>
    <w:rsid w:val="00897BB6"/>
    <w:rsid w:val="008A01CE"/>
    <w:rsid w:val="008A0A20"/>
    <w:rsid w:val="008A5A7A"/>
    <w:rsid w:val="008A6B25"/>
    <w:rsid w:val="008A6C4F"/>
    <w:rsid w:val="008B3345"/>
    <w:rsid w:val="008B4455"/>
    <w:rsid w:val="008B4563"/>
    <w:rsid w:val="008C1577"/>
    <w:rsid w:val="008C1E4D"/>
    <w:rsid w:val="008C2A49"/>
    <w:rsid w:val="008D11B5"/>
    <w:rsid w:val="008D30AB"/>
    <w:rsid w:val="008D67CC"/>
    <w:rsid w:val="008D67ED"/>
    <w:rsid w:val="008E0E46"/>
    <w:rsid w:val="008E4C0C"/>
    <w:rsid w:val="008E4DEC"/>
    <w:rsid w:val="008E50D8"/>
    <w:rsid w:val="008E60D8"/>
    <w:rsid w:val="008F3497"/>
    <w:rsid w:val="008F6BF0"/>
    <w:rsid w:val="0090452C"/>
    <w:rsid w:val="00907C3F"/>
    <w:rsid w:val="00911CEB"/>
    <w:rsid w:val="00913191"/>
    <w:rsid w:val="0091726D"/>
    <w:rsid w:val="00921789"/>
    <w:rsid w:val="0092237C"/>
    <w:rsid w:val="009227F6"/>
    <w:rsid w:val="00936A06"/>
    <w:rsid w:val="00936C6C"/>
    <w:rsid w:val="0093707B"/>
    <w:rsid w:val="009400EB"/>
    <w:rsid w:val="00941059"/>
    <w:rsid w:val="009427E3"/>
    <w:rsid w:val="009454D5"/>
    <w:rsid w:val="00946506"/>
    <w:rsid w:val="00946575"/>
    <w:rsid w:val="00950A4E"/>
    <w:rsid w:val="009541CD"/>
    <w:rsid w:val="00956D9B"/>
    <w:rsid w:val="0096016C"/>
    <w:rsid w:val="00963CBA"/>
    <w:rsid w:val="009654B7"/>
    <w:rsid w:val="00966E50"/>
    <w:rsid w:val="00980718"/>
    <w:rsid w:val="00981405"/>
    <w:rsid w:val="00981567"/>
    <w:rsid w:val="00981B1A"/>
    <w:rsid w:val="009833ED"/>
    <w:rsid w:val="00991261"/>
    <w:rsid w:val="009912AD"/>
    <w:rsid w:val="0099139F"/>
    <w:rsid w:val="00995A84"/>
    <w:rsid w:val="009A0B83"/>
    <w:rsid w:val="009A4ECB"/>
    <w:rsid w:val="009A5B92"/>
    <w:rsid w:val="009B083D"/>
    <w:rsid w:val="009B131C"/>
    <w:rsid w:val="009B2DA3"/>
    <w:rsid w:val="009B3800"/>
    <w:rsid w:val="009B3A9C"/>
    <w:rsid w:val="009C02B5"/>
    <w:rsid w:val="009C0C7A"/>
    <w:rsid w:val="009C49A5"/>
    <w:rsid w:val="009D22AC"/>
    <w:rsid w:val="009D3979"/>
    <w:rsid w:val="009D458F"/>
    <w:rsid w:val="009D50DB"/>
    <w:rsid w:val="009E075B"/>
    <w:rsid w:val="009E0E8C"/>
    <w:rsid w:val="009E1C4E"/>
    <w:rsid w:val="009E44A6"/>
    <w:rsid w:val="009E7597"/>
    <w:rsid w:val="009F0155"/>
    <w:rsid w:val="009F4617"/>
    <w:rsid w:val="00A0036A"/>
    <w:rsid w:val="00A0076F"/>
    <w:rsid w:val="00A020BD"/>
    <w:rsid w:val="00A04945"/>
    <w:rsid w:val="00A05E0B"/>
    <w:rsid w:val="00A06B91"/>
    <w:rsid w:val="00A1427D"/>
    <w:rsid w:val="00A16D23"/>
    <w:rsid w:val="00A2498F"/>
    <w:rsid w:val="00A262B7"/>
    <w:rsid w:val="00A2785C"/>
    <w:rsid w:val="00A369E4"/>
    <w:rsid w:val="00A379B3"/>
    <w:rsid w:val="00A41F26"/>
    <w:rsid w:val="00A4634F"/>
    <w:rsid w:val="00A51CF3"/>
    <w:rsid w:val="00A52E7F"/>
    <w:rsid w:val="00A6648D"/>
    <w:rsid w:val="00A72A74"/>
    <w:rsid w:val="00A72F22"/>
    <w:rsid w:val="00A73D32"/>
    <w:rsid w:val="00A748A6"/>
    <w:rsid w:val="00A75E13"/>
    <w:rsid w:val="00A76692"/>
    <w:rsid w:val="00A831AA"/>
    <w:rsid w:val="00A865FF"/>
    <w:rsid w:val="00A86912"/>
    <w:rsid w:val="00A879A4"/>
    <w:rsid w:val="00A87E95"/>
    <w:rsid w:val="00A91F6E"/>
    <w:rsid w:val="00A92E29"/>
    <w:rsid w:val="00A97DE2"/>
    <w:rsid w:val="00AA78C9"/>
    <w:rsid w:val="00AB2033"/>
    <w:rsid w:val="00AB2A14"/>
    <w:rsid w:val="00AB4880"/>
    <w:rsid w:val="00AB53F5"/>
    <w:rsid w:val="00AB559A"/>
    <w:rsid w:val="00AC1F8D"/>
    <w:rsid w:val="00AC269F"/>
    <w:rsid w:val="00AC3038"/>
    <w:rsid w:val="00AC459F"/>
    <w:rsid w:val="00AC4BAB"/>
    <w:rsid w:val="00AC5AE2"/>
    <w:rsid w:val="00AC7EE8"/>
    <w:rsid w:val="00AD09E9"/>
    <w:rsid w:val="00AD64EA"/>
    <w:rsid w:val="00AE552F"/>
    <w:rsid w:val="00AE555A"/>
    <w:rsid w:val="00AF0576"/>
    <w:rsid w:val="00AF0CB2"/>
    <w:rsid w:val="00AF3829"/>
    <w:rsid w:val="00AF48E6"/>
    <w:rsid w:val="00AF6AC3"/>
    <w:rsid w:val="00AF71C7"/>
    <w:rsid w:val="00B00435"/>
    <w:rsid w:val="00B037F0"/>
    <w:rsid w:val="00B04471"/>
    <w:rsid w:val="00B11446"/>
    <w:rsid w:val="00B11503"/>
    <w:rsid w:val="00B137FD"/>
    <w:rsid w:val="00B13BB7"/>
    <w:rsid w:val="00B20D57"/>
    <w:rsid w:val="00B21D0A"/>
    <w:rsid w:val="00B2327D"/>
    <w:rsid w:val="00B2718F"/>
    <w:rsid w:val="00B30179"/>
    <w:rsid w:val="00B31F8B"/>
    <w:rsid w:val="00B3317B"/>
    <w:rsid w:val="00B334DC"/>
    <w:rsid w:val="00B3631A"/>
    <w:rsid w:val="00B36E85"/>
    <w:rsid w:val="00B37DA9"/>
    <w:rsid w:val="00B42BC8"/>
    <w:rsid w:val="00B43319"/>
    <w:rsid w:val="00B4394E"/>
    <w:rsid w:val="00B44884"/>
    <w:rsid w:val="00B44A97"/>
    <w:rsid w:val="00B457D1"/>
    <w:rsid w:val="00B53013"/>
    <w:rsid w:val="00B5764F"/>
    <w:rsid w:val="00B60B6D"/>
    <w:rsid w:val="00B60CBF"/>
    <w:rsid w:val="00B653CF"/>
    <w:rsid w:val="00B66459"/>
    <w:rsid w:val="00B66C75"/>
    <w:rsid w:val="00B673F8"/>
    <w:rsid w:val="00B67C22"/>
    <w:rsid w:val="00B67F5E"/>
    <w:rsid w:val="00B70E86"/>
    <w:rsid w:val="00B71B22"/>
    <w:rsid w:val="00B73849"/>
    <w:rsid w:val="00B73E65"/>
    <w:rsid w:val="00B81E12"/>
    <w:rsid w:val="00B8268E"/>
    <w:rsid w:val="00B87110"/>
    <w:rsid w:val="00B91254"/>
    <w:rsid w:val="00B963A4"/>
    <w:rsid w:val="00B96A03"/>
    <w:rsid w:val="00B97FA8"/>
    <w:rsid w:val="00BA4580"/>
    <w:rsid w:val="00BA693E"/>
    <w:rsid w:val="00BA71AF"/>
    <w:rsid w:val="00BA72FC"/>
    <w:rsid w:val="00BA7F93"/>
    <w:rsid w:val="00BB7AB9"/>
    <w:rsid w:val="00BC03B3"/>
    <w:rsid w:val="00BC1385"/>
    <w:rsid w:val="00BC22EE"/>
    <w:rsid w:val="00BC716A"/>
    <w:rsid w:val="00BC74E9"/>
    <w:rsid w:val="00BD244A"/>
    <w:rsid w:val="00BD4BCE"/>
    <w:rsid w:val="00BD4D05"/>
    <w:rsid w:val="00BD5AED"/>
    <w:rsid w:val="00BE170A"/>
    <w:rsid w:val="00BE190C"/>
    <w:rsid w:val="00BE618E"/>
    <w:rsid w:val="00BE655C"/>
    <w:rsid w:val="00BF37AC"/>
    <w:rsid w:val="00C02673"/>
    <w:rsid w:val="00C05651"/>
    <w:rsid w:val="00C06876"/>
    <w:rsid w:val="00C069D7"/>
    <w:rsid w:val="00C10EFE"/>
    <w:rsid w:val="00C127D1"/>
    <w:rsid w:val="00C13C9F"/>
    <w:rsid w:val="00C13DC9"/>
    <w:rsid w:val="00C142A5"/>
    <w:rsid w:val="00C16738"/>
    <w:rsid w:val="00C2025B"/>
    <w:rsid w:val="00C217E7"/>
    <w:rsid w:val="00C22A32"/>
    <w:rsid w:val="00C23CDD"/>
    <w:rsid w:val="00C24693"/>
    <w:rsid w:val="00C24ED2"/>
    <w:rsid w:val="00C275A7"/>
    <w:rsid w:val="00C279E4"/>
    <w:rsid w:val="00C35B60"/>
    <w:rsid w:val="00C35F0B"/>
    <w:rsid w:val="00C379AE"/>
    <w:rsid w:val="00C40A6C"/>
    <w:rsid w:val="00C463DD"/>
    <w:rsid w:val="00C47747"/>
    <w:rsid w:val="00C531AF"/>
    <w:rsid w:val="00C54176"/>
    <w:rsid w:val="00C56941"/>
    <w:rsid w:val="00C64458"/>
    <w:rsid w:val="00C64624"/>
    <w:rsid w:val="00C6741B"/>
    <w:rsid w:val="00C71317"/>
    <w:rsid w:val="00C745C3"/>
    <w:rsid w:val="00C75C94"/>
    <w:rsid w:val="00C7682A"/>
    <w:rsid w:val="00C779EC"/>
    <w:rsid w:val="00C80A86"/>
    <w:rsid w:val="00C82BCA"/>
    <w:rsid w:val="00C8341F"/>
    <w:rsid w:val="00C86126"/>
    <w:rsid w:val="00C918B9"/>
    <w:rsid w:val="00C921B3"/>
    <w:rsid w:val="00C942C6"/>
    <w:rsid w:val="00C950C0"/>
    <w:rsid w:val="00C9635D"/>
    <w:rsid w:val="00C9694C"/>
    <w:rsid w:val="00CA2A58"/>
    <w:rsid w:val="00CA497D"/>
    <w:rsid w:val="00CA4DFC"/>
    <w:rsid w:val="00CA61E5"/>
    <w:rsid w:val="00CA774F"/>
    <w:rsid w:val="00CB01AA"/>
    <w:rsid w:val="00CB3DFA"/>
    <w:rsid w:val="00CB5FF7"/>
    <w:rsid w:val="00CB615F"/>
    <w:rsid w:val="00CC0B55"/>
    <w:rsid w:val="00CC34AF"/>
    <w:rsid w:val="00CC434D"/>
    <w:rsid w:val="00CC58CC"/>
    <w:rsid w:val="00CD096A"/>
    <w:rsid w:val="00CD68AC"/>
    <w:rsid w:val="00CD6995"/>
    <w:rsid w:val="00CD7147"/>
    <w:rsid w:val="00CD7B12"/>
    <w:rsid w:val="00CE09A2"/>
    <w:rsid w:val="00CE397D"/>
    <w:rsid w:val="00CE4A8F"/>
    <w:rsid w:val="00CE6CEC"/>
    <w:rsid w:val="00CF0214"/>
    <w:rsid w:val="00CF1FDA"/>
    <w:rsid w:val="00CF3408"/>
    <w:rsid w:val="00CF3856"/>
    <w:rsid w:val="00CF48F5"/>
    <w:rsid w:val="00CF586F"/>
    <w:rsid w:val="00CF5D3A"/>
    <w:rsid w:val="00CF6B09"/>
    <w:rsid w:val="00CF7D43"/>
    <w:rsid w:val="00D03BC8"/>
    <w:rsid w:val="00D04820"/>
    <w:rsid w:val="00D05137"/>
    <w:rsid w:val="00D06A44"/>
    <w:rsid w:val="00D1017B"/>
    <w:rsid w:val="00D105C3"/>
    <w:rsid w:val="00D11129"/>
    <w:rsid w:val="00D14434"/>
    <w:rsid w:val="00D14CDD"/>
    <w:rsid w:val="00D20128"/>
    <w:rsid w:val="00D2031B"/>
    <w:rsid w:val="00D21970"/>
    <w:rsid w:val="00D22332"/>
    <w:rsid w:val="00D23FC9"/>
    <w:rsid w:val="00D25FE2"/>
    <w:rsid w:val="00D3466E"/>
    <w:rsid w:val="00D428D9"/>
    <w:rsid w:val="00D43252"/>
    <w:rsid w:val="00D44F0E"/>
    <w:rsid w:val="00D550F9"/>
    <w:rsid w:val="00D560CC"/>
    <w:rsid w:val="00D572B0"/>
    <w:rsid w:val="00D57A05"/>
    <w:rsid w:val="00D607AF"/>
    <w:rsid w:val="00D60DFE"/>
    <w:rsid w:val="00D6142B"/>
    <w:rsid w:val="00D62E90"/>
    <w:rsid w:val="00D702D6"/>
    <w:rsid w:val="00D71B4A"/>
    <w:rsid w:val="00D731FB"/>
    <w:rsid w:val="00D736B0"/>
    <w:rsid w:val="00D73E2D"/>
    <w:rsid w:val="00D76BE5"/>
    <w:rsid w:val="00D82664"/>
    <w:rsid w:val="00D8391C"/>
    <w:rsid w:val="00D85FF0"/>
    <w:rsid w:val="00D920BE"/>
    <w:rsid w:val="00D92691"/>
    <w:rsid w:val="00D9436C"/>
    <w:rsid w:val="00D94814"/>
    <w:rsid w:val="00D973AF"/>
    <w:rsid w:val="00D978C6"/>
    <w:rsid w:val="00D9794F"/>
    <w:rsid w:val="00D97FFC"/>
    <w:rsid w:val="00DA30CB"/>
    <w:rsid w:val="00DA66D5"/>
    <w:rsid w:val="00DA67AD"/>
    <w:rsid w:val="00DA6AB3"/>
    <w:rsid w:val="00DB03B0"/>
    <w:rsid w:val="00DB18CE"/>
    <w:rsid w:val="00DB3E60"/>
    <w:rsid w:val="00DB47AF"/>
    <w:rsid w:val="00DB5038"/>
    <w:rsid w:val="00DB5566"/>
    <w:rsid w:val="00DD15A8"/>
    <w:rsid w:val="00DD18F6"/>
    <w:rsid w:val="00DD578C"/>
    <w:rsid w:val="00DD7E54"/>
    <w:rsid w:val="00DD7EE3"/>
    <w:rsid w:val="00DE147B"/>
    <w:rsid w:val="00DE3B79"/>
    <w:rsid w:val="00DE3EC0"/>
    <w:rsid w:val="00DE500F"/>
    <w:rsid w:val="00DE5F35"/>
    <w:rsid w:val="00DE66F5"/>
    <w:rsid w:val="00DE7801"/>
    <w:rsid w:val="00DF0285"/>
    <w:rsid w:val="00DF2647"/>
    <w:rsid w:val="00E03F40"/>
    <w:rsid w:val="00E07D4D"/>
    <w:rsid w:val="00E11593"/>
    <w:rsid w:val="00E12B6B"/>
    <w:rsid w:val="00E130AB"/>
    <w:rsid w:val="00E14112"/>
    <w:rsid w:val="00E20FE9"/>
    <w:rsid w:val="00E22EA0"/>
    <w:rsid w:val="00E25348"/>
    <w:rsid w:val="00E27298"/>
    <w:rsid w:val="00E2780E"/>
    <w:rsid w:val="00E27E01"/>
    <w:rsid w:val="00E30080"/>
    <w:rsid w:val="00E30271"/>
    <w:rsid w:val="00E33472"/>
    <w:rsid w:val="00E34243"/>
    <w:rsid w:val="00E34B7F"/>
    <w:rsid w:val="00E4356A"/>
    <w:rsid w:val="00E438D9"/>
    <w:rsid w:val="00E51969"/>
    <w:rsid w:val="00E54A77"/>
    <w:rsid w:val="00E54AFC"/>
    <w:rsid w:val="00E556A8"/>
    <w:rsid w:val="00E55E6C"/>
    <w:rsid w:val="00E5644E"/>
    <w:rsid w:val="00E567AC"/>
    <w:rsid w:val="00E63873"/>
    <w:rsid w:val="00E6568C"/>
    <w:rsid w:val="00E67D1E"/>
    <w:rsid w:val="00E67D64"/>
    <w:rsid w:val="00E7260F"/>
    <w:rsid w:val="00E779AA"/>
    <w:rsid w:val="00E80026"/>
    <w:rsid w:val="00E806EE"/>
    <w:rsid w:val="00E80AE9"/>
    <w:rsid w:val="00E86EAF"/>
    <w:rsid w:val="00E87EC1"/>
    <w:rsid w:val="00E91AE3"/>
    <w:rsid w:val="00E91DC3"/>
    <w:rsid w:val="00E950E9"/>
    <w:rsid w:val="00E953DF"/>
    <w:rsid w:val="00E96630"/>
    <w:rsid w:val="00E966C4"/>
    <w:rsid w:val="00EA3A26"/>
    <w:rsid w:val="00EA4677"/>
    <w:rsid w:val="00EB0FB9"/>
    <w:rsid w:val="00EB203D"/>
    <w:rsid w:val="00EB50D8"/>
    <w:rsid w:val="00EB6B92"/>
    <w:rsid w:val="00EC27EA"/>
    <w:rsid w:val="00EC3C9A"/>
    <w:rsid w:val="00EC5303"/>
    <w:rsid w:val="00ED0CA9"/>
    <w:rsid w:val="00ED1199"/>
    <w:rsid w:val="00ED6DA2"/>
    <w:rsid w:val="00ED7A2A"/>
    <w:rsid w:val="00ED7AE0"/>
    <w:rsid w:val="00EE06CD"/>
    <w:rsid w:val="00EE2867"/>
    <w:rsid w:val="00EE4921"/>
    <w:rsid w:val="00EE5EB7"/>
    <w:rsid w:val="00EE5F74"/>
    <w:rsid w:val="00EE7859"/>
    <w:rsid w:val="00EF061A"/>
    <w:rsid w:val="00EF0807"/>
    <w:rsid w:val="00EF1D7F"/>
    <w:rsid w:val="00EF31EA"/>
    <w:rsid w:val="00EF38C8"/>
    <w:rsid w:val="00EF5A49"/>
    <w:rsid w:val="00EF5BDB"/>
    <w:rsid w:val="00EF5CAE"/>
    <w:rsid w:val="00EF697D"/>
    <w:rsid w:val="00F037E3"/>
    <w:rsid w:val="00F05B37"/>
    <w:rsid w:val="00F07FD9"/>
    <w:rsid w:val="00F15408"/>
    <w:rsid w:val="00F16183"/>
    <w:rsid w:val="00F23933"/>
    <w:rsid w:val="00F24119"/>
    <w:rsid w:val="00F26153"/>
    <w:rsid w:val="00F269C8"/>
    <w:rsid w:val="00F3643A"/>
    <w:rsid w:val="00F37B7C"/>
    <w:rsid w:val="00F37DC8"/>
    <w:rsid w:val="00F37ED8"/>
    <w:rsid w:val="00F37F8D"/>
    <w:rsid w:val="00F4011D"/>
    <w:rsid w:val="00F40E75"/>
    <w:rsid w:val="00F40FBF"/>
    <w:rsid w:val="00F416E4"/>
    <w:rsid w:val="00F42CD9"/>
    <w:rsid w:val="00F450CD"/>
    <w:rsid w:val="00F45AC3"/>
    <w:rsid w:val="00F52659"/>
    <w:rsid w:val="00F52936"/>
    <w:rsid w:val="00F54083"/>
    <w:rsid w:val="00F546FF"/>
    <w:rsid w:val="00F62F5F"/>
    <w:rsid w:val="00F677CB"/>
    <w:rsid w:val="00F67B04"/>
    <w:rsid w:val="00F71AC7"/>
    <w:rsid w:val="00F73EAA"/>
    <w:rsid w:val="00F75FE8"/>
    <w:rsid w:val="00F763E4"/>
    <w:rsid w:val="00F83D83"/>
    <w:rsid w:val="00F85103"/>
    <w:rsid w:val="00F85A5B"/>
    <w:rsid w:val="00F865EE"/>
    <w:rsid w:val="00F865F5"/>
    <w:rsid w:val="00F92246"/>
    <w:rsid w:val="00F92DFC"/>
    <w:rsid w:val="00F93C6D"/>
    <w:rsid w:val="00F97E6F"/>
    <w:rsid w:val="00FA0482"/>
    <w:rsid w:val="00FA0589"/>
    <w:rsid w:val="00FA0D29"/>
    <w:rsid w:val="00FA2709"/>
    <w:rsid w:val="00FA2A68"/>
    <w:rsid w:val="00FA3C93"/>
    <w:rsid w:val="00FA6045"/>
    <w:rsid w:val="00FA6F74"/>
    <w:rsid w:val="00FA7DF3"/>
    <w:rsid w:val="00FB19C1"/>
    <w:rsid w:val="00FB2DA1"/>
    <w:rsid w:val="00FB75B3"/>
    <w:rsid w:val="00FC68B7"/>
    <w:rsid w:val="00FD0F52"/>
    <w:rsid w:val="00FD5856"/>
    <w:rsid w:val="00FD7C12"/>
    <w:rsid w:val="00FE1376"/>
    <w:rsid w:val="00FE2892"/>
    <w:rsid w:val="00FE2DBD"/>
    <w:rsid w:val="00FE3763"/>
    <w:rsid w:val="00FF23C5"/>
    <w:rsid w:val="00FF429F"/>
    <w:rsid w:val="00FF4B62"/>
    <w:rsid w:val="00FF58A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B076271F-DF05-443A-9398-BE582045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1B7407"/>
    <w:rPr>
      <w:lang w:eastAsia="en-US"/>
    </w:rPr>
  </w:style>
  <w:style w:type="character" w:styleId="CommentReference">
    <w:name w:val="annotation reference"/>
    <w:basedOn w:val="DefaultParagraphFont"/>
    <w:semiHidden/>
    <w:unhideWhenUsed/>
    <w:rsid w:val="00AC459F"/>
    <w:rPr>
      <w:sz w:val="16"/>
      <w:szCs w:val="16"/>
    </w:rPr>
  </w:style>
  <w:style w:type="paragraph" w:styleId="CommentText">
    <w:name w:val="annotation text"/>
    <w:basedOn w:val="Normal"/>
    <w:link w:val="CommentTextChar"/>
    <w:unhideWhenUsed/>
    <w:rsid w:val="00AC459F"/>
    <w:pPr>
      <w:spacing w:line="240" w:lineRule="auto"/>
    </w:pPr>
  </w:style>
  <w:style w:type="character" w:customStyle="1" w:styleId="CommentTextChar">
    <w:name w:val="Comment Text Char"/>
    <w:basedOn w:val="DefaultParagraphFont"/>
    <w:link w:val="CommentText"/>
    <w:rsid w:val="00AC459F"/>
    <w:rPr>
      <w:lang w:eastAsia="en-US"/>
    </w:rPr>
  </w:style>
  <w:style w:type="paragraph" w:styleId="CommentSubject">
    <w:name w:val="annotation subject"/>
    <w:basedOn w:val="CommentText"/>
    <w:next w:val="CommentText"/>
    <w:link w:val="CommentSubjectChar"/>
    <w:semiHidden/>
    <w:unhideWhenUsed/>
    <w:rsid w:val="00AC459F"/>
    <w:rPr>
      <w:b/>
      <w:bCs/>
    </w:rPr>
  </w:style>
  <w:style w:type="character" w:customStyle="1" w:styleId="CommentSubjectChar">
    <w:name w:val="Comment Subject Char"/>
    <w:basedOn w:val="CommentTextChar"/>
    <w:link w:val="CommentSubject"/>
    <w:semiHidden/>
    <w:rsid w:val="00AC459F"/>
    <w:rPr>
      <w:b/>
      <w:bCs/>
      <w:lang w:eastAsia="en-US"/>
    </w:rPr>
  </w:style>
  <w:style w:type="character" w:styleId="UnresolvedMention">
    <w:name w:val="Unresolved Mention"/>
    <w:basedOn w:val="DefaultParagraphFont"/>
    <w:uiPriority w:val="99"/>
    <w:semiHidden/>
    <w:unhideWhenUsed/>
    <w:rsid w:val="003C6596"/>
    <w:rPr>
      <w:color w:val="605E5C"/>
      <w:shd w:val="clear" w:color="auto" w:fill="E1DFDD"/>
    </w:rPr>
  </w:style>
  <w:style w:type="character" w:customStyle="1" w:styleId="apple-converted-space">
    <w:name w:val="apple-converted-space"/>
    <w:basedOn w:val="DefaultParagraphFont"/>
    <w:rsid w:val="00A0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5</Symbol>
    <Order0 xmlns="6c6497fd-db5f-4dbd-a966-3f3fb54d46eb">5</Ord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7AF27-A3F1-4E48-AA61-C91B8EA0816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7FBB7060-05E9-4F55-AE5A-22DDD711C0D6}">
  <ds:schemaRefs>
    <ds:schemaRef ds:uri="http://schemas.microsoft.com/sharepoint/v3/contenttype/forms"/>
  </ds:schemaRefs>
</ds:datastoreItem>
</file>

<file path=customXml/itemProps3.xml><?xml version="1.0" encoding="utf-8"?>
<ds:datastoreItem xmlns:ds="http://schemas.openxmlformats.org/officeDocument/2006/customXml" ds:itemID="{3A06B9E2-B8D9-42EF-9F68-F5994BCEC0E5}"/>
</file>

<file path=customXml/itemProps4.xml><?xml version="1.0" encoding="utf-8"?>
<ds:datastoreItem xmlns:ds="http://schemas.openxmlformats.org/officeDocument/2006/customXml" ds:itemID="{9A0D00B5-0E70-4AEB-A172-C6FEE99B49C3}">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Pages>
  <Words>3751</Words>
  <Characters>21383</Characters>
  <Application>Microsoft Office Word</Application>
  <DocSecurity>4</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A/HRC/RES/55/8</vt:lpstr>
      <vt:lpstr/>
    </vt:vector>
  </TitlesOfParts>
  <Company>CSD</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A/HRC/RES/55/8</dc:title>
  <dc:subject>2406215</dc:subject>
  <dc:creator>Sumiko IHARA</dc:creator>
  <cp:keywords/>
  <dc:description/>
  <cp:lastModifiedBy>Matias Pellado</cp:lastModifiedBy>
  <cp:revision>21</cp:revision>
  <cp:lastPrinted>2026-03-09T16:54:00Z</cp:lastPrinted>
  <dcterms:created xsi:type="dcterms:W3CDTF">2026-03-13T23:14:00Z</dcterms:created>
  <dcterms:modified xsi:type="dcterms:W3CDTF">2026-03-13T15:39:00Z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