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86A814" w14:textId="552D7D5B" w:rsidR="008310FF" w:rsidRPr="00BF47BA" w:rsidRDefault="008310FF" w:rsidP="008310FF">
      <w:pPr>
        <w:suppressAutoHyphens w:val="0"/>
        <w:autoSpaceDN w:val="0"/>
        <w:spacing w:line="240" w:lineRule="auto"/>
        <w:rPr>
          <w:b/>
          <w:color w:val="0000CC"/>
          <w:sz w:val="24"/>
          <w:szCs w:val="24"/>
          <w:lang w:val="en-US"/>
        </w:rPr>
      </w:pPr>
      <w:r w:rsidRPr="00FE2136">
        <w:rPr>
          <w:b/>
          <w:color w:val="0000CC"/>
          <w:sz w:val="24"/>
          <w:szCs w:val="24"/>
          <w:lang w:val="en-US"/>
        </w:rPr>
        <w:t>A</w:t>
      </w:r>
      <w:r w:rsidRPr="00BF47BA">
        <w:rPr>
          <w:b/>
          <w:color w:val="0000CC"/>
          <w:sz w:val="24"/>
          <w:szCs w:val="24"/>
          <w:lang w:val="en-US"/>
        </w:rPr>
        <w:t>/HRC/61/L.3</w:t>
      </w:r>
      <w:r w:rsidR="00F46F64">
        <w:rPr>
          <w:b/>
          <w:color w:val="0000CC"/>
          <w:sz w:val="24"/>
          <w:szCs w:val="24"/>
          <w:lang w:val="en-US"/>
        </w:rPr>
        <w:t>4</w:t>
      </w:r>
    </w:p>
    <w:p w14:paraId="01EAC0D1" w14:textId="563AA105" w:rsidR="008310FF" w:rsidRPr="00FE2136" w:rsidRDefault="008310FF" w:rsidP="008310FF">
      <w:pPr>
        <w:suppressAutoHyphens w:val="0"/>
        <w:autoSpaceDN w:val="0"/>
        <w:spacing w:line="240" w:lineRule="auto"/>
        <w:rPr>
          <w:b/>
          <w:color w:val="0000CC"/>
          <w:sz w:val="24"/>
          <w:szCs w:val="24"/>
          <w:lang w:val="en-US"/>
        </w:rPr>
      </w:pPr>
      <w:r w:rsidRPr="00FE2136">
        <w:rPr>
          <w:b/>
          <w:color w:val="0000CC"/>
          <w:sz w:val="24"/>
          <w:szCs w:val="24"/>
          <w:lang w:val="en-US"/>
        </w:rPr>
        <w:t xml:space="preserve">Item </w:t>
      </w:r>
      <w:r w:rsidR="00F46F64">
        <w:rPr>
          <w:b/>
          <w:color w:val="0000CC"/>
          <w:sz w:val="24"/>
          <w:szCs w:val="24"/>
          <w:lang w:val="en-US"/>
        </w:rPr>
        <w:t>10</w:t>
      </w:r>
    </w:p>
    <w:p w14:paraId="25F3B239" w14:textId="1CE86B4F" w:rsidR="008310FF" w:rsidRPr="00FE2136" w:rsidRDefault="008310FF" w:rsidP="008310FF">
      <w:pPr>
        <w:suppressAutoHyphens w:val="0"/>
        <w:autoSpaceDN w:val="0"/>
        <w:spacing w:line="240" w:lineRule="auto"/>
        <w:rPr>
          <w:b/>
          <w:color w:val="0000CC"/>
          <w:sz w:val="24"/>
          <w:szCs w:val="24"/>
          <w:lang w:val="en-US"/>
        </w:rPr>
      </w:pPr>
      <w:r w:rsidRPr="00FE2136">
        <w:rPr>
          <w:b/>
          <w:color w:val="0000CC"/>
          <w:sz w:val="24"/>
          <w:szCs w:val="24"/>
          <w:lang w:val="en-US"/>
        </w:rPr>
        <w:t xml:space="preserve">Received from (main sponsors): </w:t>
      </w:r>
      <w:r w:rsidR="00F46F64">
        <w:rPr>
          <w:b/>
          <w:color w:val="0000CC"/>
          <w:sz w:val="24"/>
          <w:szCs w:val="24"/>
          <w:lang w:val="en-US"/>
        </w:rPr>
        <w:t>Haiti</w:t>
      </w:r>
    </w:p>
    <w:p w14:paraId="1108F334" w14:textId="6EE0CACB" w:rsidR="008310FF" w:rsidRPr="00FE2136" w:rsidRDefault="008310FF" w:rsidP="008310FF">
      <w:pPr>
        <w:suppressAutoHyphens w:val="0"/>
        <w:autoSpaceDN w:val="0"/>
        <w:spacing w:line="240" w:lineRule="auto"/>
        <w:rPr>
          <w:b/>
          <w:color w:val="0000CC"/>
          <w:sz w:val="24"/>
          <w:szCs w:val="24"/>
          <w:lang w:val="en-US"/>
        </w:rPr>
      </w:pPr>
      <w:r w:rsidRPr="00FE2136">
        <w:rPr>
          <w:b/>
          <w:color w:val="0000CC"/>
          <w:sz w:val="24"/>
          <w:szCs w:val="24"/>
          <w:lang w:val="en-US"/>
        </w:rPr>
        <w:t>Date and time: 1</w:t>
      </w:r>
      <w:r w:rsidR="00F82B9D">
        <w:rPr>
          <w:b/>
          <w:color w:val="0000CC"/>
          <w:sz w:val="24"/>
          <w:szCs w:val="24"/>
          <w:lang w:val="en-US"/>
        </w:rPr>
        <w:t>9</w:t>
      </w:r>
      <w:r w:rsidRPr="00FE2136">
        <w:rPr>
          <w:b/>
          <w:color w:val="0000CC"/>
          <w:sz w:val="24"/>
          <w:szCs w:val="24"/>
          <w:lang w:val="en-US"/>
        </w:rPr>
        <w:t xml:space="preserve">/03/2026, </w:t>
      </w:r>
      <w:r w:rsidR="00E94779">
        <w:rPr>
          <w:b/>
          <w:color w:val="0000CC"/>
          <w:sz w:val="24"/>
          <w:szCs w:val="24"/>
          <w:lang w:val="en-US"/>
        </w:rPr>
        <w:t>9</w:t>
      </w:r>
      <w:r w:rsidRPr="00FE2136">
        <w:rPr>
          <w:b/>
          <w:color w:val="0000CC"/>
          <w:sz w:val="24"/>
          <w:szCs w:val="24"/>
          <w:lang w:val="en-US"/>
        </w:rPr>
        <w:t>:</w:t>
      </w:r>
      <w:r w:rsidR="00E94779">
        <w:rPr>
          <w:b/>
          <w:color w:val="0000CC"/>
          <w:sz w:val="24"/>
          <w:szCs w:val="24"/>
          <w:lang w:val="en-US"/>
        </w:rPr>
        <w:t>00</w:t>
      </w:r>
    </w:p>
    <w:p w14:paraId="1F66C8BE" w14:textId="77777777" w:rsidR="008310FF" w:rsidRPr="00FE2136" w:rsidRDefault="008310FF" w:rsidP="008310FF">
      <w:pPr>
        <w:suppressAutoHyphens w:val="0"/>
        <w:autoSpaceDN w:val="0"/>
        <w:spacing w:line="240" w:lineRule="auto"/>
        <w:rPr>
          <w:b/>
          <w:color w:val="0000CC"/>
          <w:sz w:val="24"/>
          <w:szCs w:val="24"/>
          <w:lang w:val="en-US"/>
        </w:rPr>
      </w:pPr>
      <w:r w:rsidRPr="00FE2136">
        <w:rPr>
          <w:b/>
          <w:color w:val="0000CC"/>
          <w:sz w:val="24"/>
          <w:szCs w:val="24"/>
          <w:lang w:val="en-US"/>
        </w:rPr>
        <w:t>Initials: MP</w:t>
      </w:r>
    </w:p>
    <w:p w14:paraId="452FD300" w14:textId="77777777" w:rsidR="008310FF" w:rsidRPr="00FE2136" w:rsidRDefault="008310FF" w:rsidP="008310FF">
      <w:pPr>
        <w:suppressAutoHyphens w:val="0"/>
        <w:autoSpaceDN w:val="0"/>
        <w:spacing w:line="240" w:lineRule="auto"/>
        <w:rPr>
          <w:b/>
          <w:color w:val="0000CC"/>
          <w:sz w:val="24"/>
          <w:szCs w:val="24"/>
          <w:lang w:val="en-US"/>
        </w:rPr>
      </w:pPr>
      <w:r w:rsidRPr="00FE2136">
        <w:rPr>
          <w:b/>
          <w:color w:val="0000CC"/>
          <w:sz w:val="24"/>
          <w:szCs w:val="24"/>
          <w:lang w:val="en-US"/>
        </w:rPr>
        <w:t xml:space="preserve">Page 1 of </w:t>
      </w:r>
      <w:r>
        <w:rPr>
          <w:b/>
          <w:color w:val="0000CC"/>
          <w:sz w:val="24"/>
          <w:szCs w:val="24"/>
          <w:lang w:val="en-US"/>
        </w:rPr>
        <w:t>4</w:t>
      </w:r>
    </w:p>
    <w:p w14:paraId="749CBA17" w14:textId="6B6A5AC6" w:rsidR="00130C41" w:rsidRPr="00130C41" w:rsidRDefault="00130C41" w:rsidP="00C9629B">
      <w:pPr>
        <w:keepNext/>
        <w:keepLines/>
        <w:spacing w:before="360" w:after="240" w:line="270" w:lineRule="exact"/>
        <w:ind w:left="1134" w:right="1134" w:hanging="850"/>
        <w:rPr>
          <w:b/>
          <w:sz w:val="24"/>
          <w:lang w:val="fr-FR"/>
        </w:rPr>
      </w:pPr>
      <w:r w:rsidRPr="00F46F64">
        <w:rPr>
          <w:b/>
          <w:sz w:val="24"/>
          <w:lang w:val="en-US"/>
        </w:rPr>
        <w:tab/>
      </w:r>
      <w:r w:rsidR="00182746" w:rsidRPr="00182746">
        <w:rPr>
          <w:b/>
          <w:sz w:val="24"/>
          <w:lang w:val="fr-FR"/>
        </w:rPr>
        <w:t xml:space="preserve">Assistance technique et renforcement des capacités visant </w:t>
      </w:r>
      <w:proofErr w:type="spellStart"/>
      <w:r w:rsidR="00182746" w:rsidRPr="00182746">
        <w:rPr>
          <w:b/>
          <w:sz w:val="24"/>
          <w:lang w:val="fr-FR"/>
        </w:rPr>
        <w:t>a</w:t>
      </w:r>
      <w:proofErr w:type="spellEnd"/>
      <w:r w:rsidR="00182746" w:rsidRPr="00182746">
        <w:rPr>
          <w:b/>
          <w:sz w:val="24"/>
          <w:lang w:val="fr-FR"/>
        </w:rPr>
        <w:t>̀ améliorer la situation des droits de l’homme en Haïti, en lien avec la demande des autorités haïtiennes d’une action internationale coordonnée et ciblée</w:t>
      </w:r>
    </w:p>
    <w:p w14:paraId="3B9C07EE" w14:textId="77777777" w:rsidR="00130C41" w:rsidRPr="00130C41" w:rsidRDefault="00130C41" w:rsidP="00130C41">
      <w:pPr>
        <w:spacing w:after="120"/>
        <w:ind w:left="1134" w:right="1134" w:firstLine="567"/>
        <w:jc w:val="both"/>
        <w:rPr>
          <w:lang w:val="fr-FR"/>
        </w:rPr>
      </w:pPr>
      <w:r w:rsidRPr="00130C41">
        <w:rPr>
          <w:i/>
          <w:lang w:val="fr-FR"/>
        </w:rPr>
        <w:t>Le Conseil des droits de l’homme</w:t>
      </w:r>
      <w:r w:rsidRPr="00130C41">
        <w:rPr>
          <w:lang w:val="fr-FR"/>
        </w:rPr>
        <w:t>,</w:t>
      </w:r>
    </w:p>
    <w:p w14:paraId="0A2FD739" w14:textId="5C33FFED" w:rsidR="00ED2858" w:rsidRPr="00ED2858" w:rsidRDefault="00130C41" w:rsidP="00ED2858">
      <w:pPr>
        <w:pStyle w:val="SingleTxtG"/>
      </w:pPr>
      <w:r w:rsidRPr="00130C41">
        <w:rPr>
          <w:lang w:val="fr-FR"/>
        </w:rPr>
        <w:tab/>
      </w:r>
      <w:r w:rsidR="00ED2858" w:rsidRPr="00ED2858">
        <w:rPr>
          <w:i/>
          <w:iCs/>
        </w:rPr>
        <w:t xml:space="preserve">Guidé </w:t>
      </w:r>
      <w:r w:rsidR="00ED2858" w:rsidRPr="00ED2858">
        <w:t>par les buts et principes énoncés dans la Charte des Nations Unies,</w:t>
      </w:r>
    </w:p>
    <w:p w14:paraId="68604B9E" w14:textId="77777777" w:rsidR="00ED2858" w:rsidRPr="00ED2858" w:rsidRDefault="00ED2858" w:rsidP="00ED2858">
      <w:pPr>
        <w:pStyle w:val="SingleTxtG"/>
        <w:ind w:firstLine="567"/>
      </w:pPr>
      <w:r w:rsidRPr="00ED2858">
        <w:rPr>
          <w:i/>
          <w:iCs/>
        </w:rPr>
        <w:t xml:space="preserve">Rappelant </w:t>
      </w:r>
      <w:r w:rsidRPr="00ED2858">
        <w:t>la Déclaration universelle des droits de l’homme, le Pacte international relatif aux droits civils et politiques, le Pacte international relatif aux droits économiques, sociaux et culturels, la Convention sur l’élimination de toutes les formes de discrimination à l’égard des femmes, la Convention relative aux droits de l’enfant ainsi que ses protocoles facultatifs, la Convention relative aux droits des personnes handicapées, la Convention internationale sur l’élimination de toutes les formes de discrimination raciale et les autres instruments internationaux pertinents relatifs aux droits de l’homme,</w:t>
      </w:r>
    </w:p>
    <w:p w14:paraId="5141E927" w14:textId="6A2947BA" w:rsidR="00ED2858" w:rsidRPr="00ED2858" w:rsidRDefault="00ED2858" w:rsidP="00ED2858">
      <w:pPr>
        <w:pStyle w:val="SingleTxtG"/>
        <w:ind w:firstLine="567"/>
        <w:rPr>
          <w:iCs/>
        </w:rPr>
      </w:pPr>
      <w:r w:rsidRPr="00ED2858">
        <w:rPr>
          <w:i/>
          <w:iCs/>
        </w:rPr>
        <w:t xml:space="preserve">Rappelant également </w:t>
      </w:r>
      <w:r w:rsidRPr="00ED2858">
        <w:rPr>
          <w:iCs/>
        </w:rPr>
        <w:t>ses résolutions 52/39 du 4 avril 2023</w:t>
      </w:r>
      <w:r w:rsidR="0017656D">
        <w:rPr>
          <w:iCs/>
        </w:rPr>
        <w:t xml:space="preserve">, </w:t>
      </w:r>
      <w:r w:rsidRPr="00ED2858">
        <w:rPr>
          <w:iCs/>
        </w:rPr>
        <w:t>55/24 du 4 avril 2024</w:t>
      </w:r>
      <w:r w:rsidR="0017656D">
        <w:rPr>
          <w:iCs/>
        </w:rPr>
        <w:t xml:space="preserve"> et 58/32</w:t>
      </w:r>
      <w:r w:rsidR="00A96378">
        <w:rPr>
          <w:iCs/>
        </w:rPr>
        <w:t xml:space="preserve"> du 4 avril 2025</w:t>
      </w:r>
      <w:r w:rsidRPr="00ED2858">
        <w:rPr>
          <w:iCs/>
        </w:rPr>
        <w:t xml:space="preserve">, par lesquelles il a respectivement demandé au Haut-Commissaire des Nations Unies aux droits de l’homme de désigner un expert indépendant des droits de l’homme en Haïti et prorogé </w:t>
      </w:r>
      <w:r w:rsidR="00D53DFD">
        <w:rPr>
          <w:iCs/>
        </w:rPr>
        <w:t xml:space="preserve">pour une période </w:t>
      </w:r>
      <w:r w:rsidRPr="00ED2858">
        <w:rPr>
          <w:iCs/>
        </w:rPr>
        <w:t>d’un an renouvelable le mandat de ce dernier,</w:t>
      </w:r>
    </w:p>
    <w:p w14:paraId="689A6790" w14:textId="7E18E3C4" w:rsidR="00ED2858" w:rsidRPr="00ED2858" w:rsidRDefault="00ED2858" w:rsidP="00ED2858">
      <w:pPr>
        <w:pStyle w:val="SingleTxtG"/>
        <w:ind w:firstLine="567"/>
      </w:pPr>
      <w:r w:rsidRPr="00ED2858">
        <w:rPr>
          <w:i/>
          <w:iCs/>
        </w:rPr>
        <w:t xml:space="preserve">Rappelant en outre </w:t>
      </w:r>
      <w:r w:rsidRPr="00ED2858">
        <w:rPr>
          <w:iCs/>
        </w:rPr>
        <w:t>la résolution 2699 (2023) du Conseil de sécurité en date du 2</w:t>
      </w:r>
      <w:r w:rsidR="00D53DFD">
        <w:rPr>
          <w:iCs/>
        </w:rPr>
        <w:t> </w:t>
      </w:r>
      <w:r w:rsidRPr="00ED2858">
        <w:rPr>
          <w:iCs/>
        </w:rPr>
        <w:t>octobre</w:t>
      </w:r>
      <w:r>
        <w:rPr>
          <w:iCs/>
        </w:rPr>
        <w:t xml:space="preserve"> </w:t>
      </w:r>
      <w:r w:rsidRPr="00ED2858">
        <w:rPr>
          <w:iCs/>
        </w:rPr>
        <w:t>2023, qui a autorisé la création et le déploiement en Haïti d’une mission multinationale d’appui à la sécurité,</w:t>
      </w:r>
      <w:r w:rsidR="0017656D">
        <w:rPr>
          <w:iCs/>
        </w:rPr>
        <w:t xml:space="preserve"> et sa résolution 2793 (2025) qui a</w:t>
      </w:r>
      <w:r w:rsidR="001052B9">
        <w:rPr>
          <w:iCs/>
        </w:rPr>
        <w:t xml:space="preserve"> autorisé les États membres à procéder à la transition de</w:t>
      </w:r>
      <w:r w:rsidR="0017656D">
        <w:rPr>
          <w:iCs/>
        </w:rPr>
        <w:t xml:space="preserve"> cette mission en Force de répression des gangs,</w:t>
      </w:r>
    </w:p>
    <w:p w14:paraId="0683FCD2" w14:textId="77777777" w:rsidR="00ED2858" w:rsidRPr="00ED2858" w:rsidRDefault="00ED2858" w:rsidP="00360C90">
      <w:pPr>
        <w:pStyle w:val="SingleTxtG"/>
        <w:ind w:firstLine="567"/>
      </w:pPr>
      <w:r w:rsidRPr="00ED2858">
        <w:rPr>
          <w:i/>
          <w:iCs/>
        </w:rPr>
        <w:t xml:space="preserve">Soulignant </w:t>
      </w:r>
      <w:r w:rsidRPr="00ED2858">
        <w:t>que c’est aux États qu’il incombe au premier chef de respecter, de promouvoir et de protéger tous les droits de l’homme,</w:t>
      </w:r>
    </w:p>
    <w:p w14:paraId="1086C149" w14:textId="1474ED75" w:rsidR="00ED2858" w:rsidRPr="00ED2858" w:rsidRDefault="00C641D9" w:rsidP="00360C90">
      <w:pPr>
        <w:pStyle w:val="SingleTxtG"/>
        <w:ind w:firstLine="567"/>
      </w:pPr>
      <w:r>
        <w:rPr>
          <w:i/>
          <w:iCs/>
        </w:rPr>
        <w:t>Restant</w:t>
      </w:r>
      <w:r w:rsidR="00ED2858" w:rsidRPr="00ED2858">
        <w:rPr>
          <w:i/>
          <w:iCs/>
        </w:rPr>
        <w:t xml:space="preserve"> gravement préoccupé </w:t>
      </w:r>
      <w:r w:rsidR="00ED2858" w:rsidRPr="00ED2858">
        <w:t xml:space="preserve">par la situation sécuritaire en Haïti, marquée par la violence </w:t>
      </w:r>
      <w:r w:rsidR="001052B9">
        <w:t xml:space="preserve">persistante </w:t>
      </w:r>
      <w:r w:rsidR="00ED2858" w:rsidRPr="00ED2858">
        <w:t>perpétrée par les gangs armés, qui étranglen</w:t>
      </w:r>
      <w:r>
        <w:t>t</w:t>
      </w:r>
      <w:r w:rsidR="00ED2858" w:rsidRPr="00ED2858">
        <w:t xml:space="preserve"> la capitale, Port-au-Prince, et contrôlent certaines parties de plusieurs villes de province, entraînant une crise humanitaire sans précédent, sapant les efforts du Gouvernement haïtien en matière de droits de l’homme, et entravant la jouissance des droits de l’homme du peuple haïtien, y compris le droit à la vie</w:t>
      </w:r>
      <w:r w:rsidR="00C16685">
        <w:t xml:space="preserve">, </w:t>
      </w:r>
      <w:r w:rsidR="00ED2858" w:rsidRPr="00ED2858">
        <w:t>à la sécurité de la personne</w:t>
      </w:r>
      <w:r w:rsidR="00C16685">
        <w:t xml:space="preserve"> et à la dignité humaine</w:t>
      </w:r>
      <w:r w:rsidR="00ED2858" w:rsidRPr="00ED2858">
        <w:t>, le droit à l’éducation, le droit au travail, le droit de jouir du meilleur état de santé physique et mentale susceptible d’être atteint, les droits à une alimentation adéquate, au logement et à la sécurité, à l’eau potable et à l’assainissement découlant du droit à un niveau de vie suffisant, et le droit de participer à la direction des affaires publiques,</w:t>
      </w:r>
    </w:p>
    <w:p w14:paraId="1CB1BB74" w14:textId="6973A921" w:rsidR="00ED2858" w:rsidRPr="00ED2858" w:rsidRDefault="00302B7C" w:rsidP="00360C90">
      <w:pPr>
        <w:pStyle w:val="SingleTxtG"/>
        <w:ind w:firstLine="567"/>
      </w:pPr>
      <w:r>
        <w:rPr>
          <w:i/>
          <w:iCs/>
        </w:rPr>
        <w:t>Restant</w:t>
      </w:r>
      <w:r w:rsidR="00ED2858" w:rsidRPr="00ED2858">
        <w:rPr>
          <w:i/>
          <w:iCs/>
        </w:rPr>
        <w:t xml:space="preserve"> également gravement préoccupé </w:t>
      </w:r>
      <w:r w:rsidR="00ED2858" w:rsidRPr="00ED2858">
        <w:t xml:space="preserve">par la corrélation, en Haïti, entre </w:t>
      </w:r>
      <w:r w:rsidR="009303AE">
        <w:t xml:space="preserve">d’une part, </w:t>
      </w:r>
      <w:r w:rsidR="00ED2858" w:rsidRPr="00ED2858">
        <w:t>la puissance des gangs armés</w:t>
      </w:r>
      <w:r w:rsidR="009303AE">
        <w:t> ;</w:t>
      </w:r>
      <w:r w:rsidR="00ED2858" w:rsidRPr="00ED2858">
        <w:t xml:space="preserve"> et </w:t>
      </w:r>
      <w:r w:rsidR="009303AE">
        <w:t>d’autre part, les atteintes physiques aux personnes en général</w:t>
      </w:r>
      <w:r w:rsidR="009303AE">
        <w:rPr>
          <w:iCs/>
        </w:rPr>
        <w:t>,</w:t>
      </w:r>
      <w:r w:rsidR="00B2618B">
        <w:rPr>
          <w:iCs/>
        </w:rPr>
        <w:t xml:space="preserve"> </w:t>
      </w:r>
      <w:r w:rsidR="00C16685">
        <w:rPr>
          <w:iCs/>
        </w:rPr>
        <w:t xml:space="preserve">y compris les personnes handicapées et les personnes âgées, </w:t>
      </w:r>
      <w:r w:rsidR="009303AE">
        <w:rPr>
          <w:iCs/>
        </w:rPr>
        <w:t>et</w:t>
      </w:r>
      <w:r w:rsidR="00702EEB">
        <w:rPr>
          <w:iCs/>
        </w:rPr>
        <w:t xml:space="preserve">, </w:t>
      </w:r>
      <w:r w:rsidR="00702EEB">
        <w:t>en particulier,</w:t>
      </w:r>
      <w:r w:rsidR="009303AE">
        <w:rPr>
          <w:iCs/>
        </w:rPr>
        <w:t xml:space="preserve"> </w:t>
      </w:r>
      <w:r w:rsidR="00ED2858" w:rsidRPr="00ED2858">
        <w:t xml:space="preserve">le recours systématique aux violences sexuelles </w:t>
      </w:r>
      <w:r w:rsidR="00702EEB">
        <w:t xml:space="preserve"> à l’encontre des femmes, des hommes et des enfants</w:t>
      </w:r>
      <w:r w:rsidR="00ED2858" w:rsidRPr="00ED2858">
        <w:t xml:space="preserve">, </w:t>
      </w:r>
      <w:r w:rsidR="00702EEB">
        <w:t xml:space="preserve">et les violences fondées sur le genre, </w:t>
      </w:r>
      <w:r w:rsidR="00ED2858" w:rsidRPr="00ED2858">
        <w:t>qui ont un impact disproportionné sur les femmes</w:t>
      </w:r>
      <w:r w:rsidR="002742D2">
        <w:t xml:space="preserve"> et </w:t>
      </w:r>
      <w:r w:rsidR="00ED2858" w:rsidRPr="00ED2858">
        <w:t>les filles</w:t>
      </w:r>
      <w:r w:rsidR="002742D2">
        <w:t xml:space="preserve">, </w:t>
      </w:r>
      <w:r w:rsidR="00ED2858" w:rsidRPr="00ED2858">
        <w:t>engendrant un risque accru de maladies non transmissibles, en particulier les troubles anxieux et l’état de stress post</w:t>
      </w:r>
      <w:r w:rsidR="00ED2858" w:rsidRPr="00ED2858">
        <w:noBreakHyphen/>
        <w:t>traumatique, et de maladies transmissibles, en particulier les maladies sexuellement transmissibles, ce qui entrave la pleine réalisation et la pleine jouissance des droits de l’homme du peuple haïtien,</w:t>
      </w:r>
    </w:p>
    <w:p w14:paraId="46227BFB" w14:textId="4516B498" w:rsidR="00A43FBF" w:rsidRPr="00A43FBF" w:rsidRDefault="00A43FBF" w:rsidP="00360C90">
      <w:pPr>
        <w:pStyle w:val="SingleTxtG"/>
        <w:ind w:firstLine="567"/>
        <w:rPr>
          <w:iCs/>
        </w:rPr>
      </w:pPr>
      <w:r>
        <w:rPr>
          <w:i/>
        </w:rPr>
        <w:t xml:space="preserve">Condamnant fermement </w:t>
      </w:r>
      <w:r>
        <w:rPr>
          <w:iCs/>
        </w:rPr>
        <w:t>la traite d’enfants</w:t>
      </w:r>
      <w:r w:rsidR="001052B9">
        <w:rPr>
          <w:iCs/>
        </w:rPr>
        <w:t xml:space="preserve">, notamment toutes les différentes formes d’exploitation auxquelles ils sont confrontés, </w:t>
      </w:r>
      <w:r>
        <w:rPr>
          <w:iCs/>
        </w:rPr>
        <w:t>et l</w:t>
      </w:r>
      <w:r w:rsidR="00CE78A7">
        <w:rPr>
          <w:iCs/>
        </w:rPr>
        <w:t>’exécution</w:t>
      </w:r>
      <w:r>
        <w:rPr>
          <w:iCs/>
        </w:rPr>
        <w:t xml:space="preserve"> de personnes âgées par les gangs armés </w:t>
      </w:r>
      <w:r w:rsidR="00CE78A7">
        <w:rPr>
          <w:iCs/>
        </w:rPr>
        <w:t>pour quel qu</w:t>
      </w:r>
      <w:r w:rsidR="00E279B7">
        <w:rPr>
          <w:iCs/>
        </w:rPr>
        <w:t xml:space="preserve">e </w:t>
      </w:r>
      <w:r w:rsidR="00CE78A7">
        <w:rPr>
          <w:iCs/>
        </w:rPr>
        <w:t>soit le motif,</w:t>
      </w:r>
    </w:p>
    <w:p w14:paraId="568B0993" w14:textId="131B0044" w:rsidR="00ED2858" w:rsidRDefault="00ED2858" w:rsidP="00360C90">
      <w:pPr>
        <w:pStyle w:val="SingleTxtG"/>
        <w:ind w:firstLine="567"/>
        <w:rPr>
          <w:iCs/>
        </w:rPr>
      </w:pPr>
      <w:r w:rsidRPr="00ED2858">
        <w:rPr>
          <w:i/>
        </w:rPr>
        <w:lastRenderedPageBreak/>
        <w:t xml:space="preserve">Rappelant </w:t>
      </w:r>
      <w:r w:rsidRPr="00ED2858">
        <w:rPr>
          <w:iCs/>
        </w:rPr>
        <w:t>qu’Haïti a été ajouté en tant que pays où la situation est préoccupante dans le</w:t>
      </w:r>
      <w:r w:rsidR="00D53DFD">
        <w:rPr>
          <w:iCs/>
        </w:rPr>
        <w:t>s</w:t>
      </w:r>
      <w:r w:rsidRPr="00ED2858">
        <w:rPr>
          <w:iCs/>
        </w:rPr>
        <w:t xml:space="preserve"> rapport</w:t>
      </w:r>
      <w:r w:rsidR="00D53DFD">
        <w:rPr>
          <w:iCs/>
        </w:rPr>
        <w:t>s</w:t>
      </w:r>
      <w:r w:rsidRPr="00ED2858">
        <w:rPr>
          <w:iCs/>
        </w:rPr>
        <w:t xml:space="preserve"> de</w:t>
      </w:r>
      <w:r w:rsidR="00360C90">
        <w:rPr>
          <w:iCs/>
        </w:rPr>
        <w:t xml:space="preserve"> </w:t>
      </w:r>
      <w:r w:rsidRPr="00ED2858">
        <w:rPr>
          <w:iCs/>
        </w:rPr>
        <w:t>2023</w:t>
      </w:r>
      <w:r w:rsidR="0017656D">
        <w:rPr>
          <w:iCs/>
        </w:rPr>
        <w:t xml:space="preserve">, </w:t>
      </w:r>
      <w:r w:rsidRPr="00ED2858">
        <w:rPr>
          <w:iCs/>
        </w:rPr>
        <w:t xml:space="preserve">de 2024 </w:t>
      </w:r>
      <w:r w:rsidR="0017656D">
        <w:rPr>
          <w:iCs/>
        </w:rPr>
        <w:t xml:space="preserve">et de 2025 </w:t>
      </w:r>
      <w:r w:rsidRPr="00ED2858">
        <w:rPr>
          <w:iCs/>
        </w:rPr>
        <w:t>du Secrétaire général sur les enfants et les conflits armés</w:t>
      </w:r>
      <w:r w:rsidR="00360C90">
        <w:rPr>
          <w:rStyle w:val="FootnoteReference"/>
          <w:iCs/>
        </w:rPr>
        <w:footnoteReference w:id="2"/>
      </w:r>
      <w:r w:rsidRPr="00ED2858">
        <w:rPr>
          <w:iCs/>
        </w:rPr>
        <w:t>,</w:t>
      </w:r>
    </w:p>
    <w:p w14:paraId="5473F7E3" w14:textId="7BA386C3" w:rsidR="007F0FFB" w:rsidRPr="00ED2858" w:rsidRDefault="007F0FFB" w:rsidP="00360C90">
      <w:pPr>
        <w:pStyle w:val="SingleTxtG"/>
        <w:ind w:firstLine="567"/>
        <w:rPr>
          <w:iCs/>
        </w:rPr>
      </w:pPr>
      <w:r>
        <w:rPr>
          <w:i/>
        </w:rPr>
        <w:t xml:space="preserve">Prenant note </w:t>
      </w:r>
      <w:r w:rsidRPr="00F46F64">
        <w:rPr>
          <w:iCs/>
        </w:rPr>
        <w:t>des mesures prise</w:t>
      </w:r>
      <w:r w:rsidR="00AE6769" w:rsidRPr="00F46F64">
        <w:rPr>
          <w:iCs/>
        </w:rPr>
        <w:t>s</w:t>
      </w:r>
      <w:r w:rsidRPr="00F46F64">
        <w:rPr>
          <w:iCs/>
        </w:rPr>
        <w:t xml:space="preserve"> par le Gouvernement haïtien pour la rééducation et la réinsertion des enfants ayant eu des liens avec des gangs armés,</w:t>
      </w:r>
      <w:r>
        <w:rPr>
          <w:i/>
        </w:rPr>
        <w:t xml:space="preserve"> </w:t>
      </w:r>
    </w:p>
    <w:p w14:paraId="2EFB3694" w14:textId="0BE56C89" w:rsidR="00ED2858" w:rsidRPr="00ED2858" w:rsidRDefault="00ED2858" w:rsidP="00360C90">
      <w:pPr>
        <w:pStyle w:val="SingleTxtG"/>
        <w:ind w:firstLine="567"/>
      </w:pPr>
      <w:r w:rsidRPr="00ED2858">
        <w:rPr>
          <w:i/>
          <w:iCs/>
        </w:rPr>
        <w:t>Restant profondément préoccupé</w:t>
      </w:r>
      <w:r w:rsidRPr="00ED2858">
        <w:t xml:space="preserve"> par la crise humanitaire en Haïti, exacerbée par la violence des gangs armés, qui conduit à de constants déplacements forcés, à un accès très limité de la majorité de la population aux services de base ainsi qu’au blocage de l’aide humanitaire,</w:t>
      </w:r>
    </w:p>
    <w:p w14:paraId="76698E00" w14:textId="4E48632D" w:rsidR="00ED2858" w:rsidRPr="00ED2858" w:rsidRDefault="00ED2858" w:rsidP="00360C90">
      <w:pPr>
        <w:pStyle w:val="SingleTxtG"/>
        <w:ind w:firstLine="567"/>
      </w:pPr>
      <w:r w:rsidRPr="00ED2858">
        <w:rPr>
          <w:i/>
          <w:iCs/>
        </w:rPr>
        <w:t xml:space="preserve">Constatant </w:t>
      </w:r>
      <w:r w:rsidRPr="00ED2858">
        <w:t>qu</w:t>
      </w:r>
      <w:r w:rsidRPr="00ED2858">
        <w:rPr>
          <w:iCs/>
        </w:rPr>
        <w:t>’</w:t>
      </w:r>
      <w:r w:rsidRPr="00ED2858">
        <w:t>Haïti, malgré les efforts continus de ses forces de sécurité, ne dispose toujours ni des capacités techniques, ni des effectifs adéquats, ni des ressources nécessaires pour lutter efficacement contre les actions criminelles des gangs armés sur son territoire et y consolider les progrès en matière de droits de l’homme,</w:t>
      </w:r>
    </w:p>
    <w:p w14:paraId="4A7985B8" w14:textId="19D71518" w:rsidR="00ED2858" w:rsidRPr="00ED2858" w:rsidRDefault="00ED2858" w:rsidP="00360C90">
      <w:pPr>
        <w:pStyle w:val="SingleTxtG"/>
        <w:ind w:firstLine="567"/>
        <w:rPr>
          <w:iCs/>
        </w:rPr>
      </w:pPr>
      <w:r w:rsidRPr="00ED2858">
        <w:rPr>
          <w:i/>
          <w:iCs/>
        </w:rPr>
        <w:t xml:space="preserve">Exprimant </w:t>
      </w:r>
      <w:r w:rsidRPr="00ED2858">
        <w:rPr>
          <w:iCs/>
        </w:rPr>
        <w:t>sa vive préoccupation face au trafic illicite continu d’armes et de munitions, qui alimente la violence armée et les violations des droits de l’homme en Haïti</w:t>
      </w:r>
      <w:r w:rsidR="00360C90">
        <w:rPr>
          <w:iCs/>
        </w:rPr>
        <w:t>,</w:t>
      </w:r>
    </w:p>
    <w:p w14:paraId="330BB717" w14:textId="77777777" w:rsidR="00ED2858" w:rsidRPr="00ED2858" w:rsidRDefault="00ED2858" w:rsidP="00360C90">
      <w:pPr>
        <w:pStyle w:val="SingleTxtG"/>
        <w:ind w:firstLine="567"/>
      </w:pPr>
      <w:r w:rsidRPr="00ED2858">
        <w:rPr>
          <w:i/>
          <w:iCs/>
        </w:rPr>
        <w:t>Rappelant</w:t>
      </w:r>
      <w:r w:rsidRPr="00ED2858">
        <w:t xml:space="preserve"> les demandes répétées du Gouvernement haïtien relatives à une action internationale coordonnée et ciblée pour mettre un terme aux multiples abus des droits de l’homme attribuables aux gangs armés et répondre à la crise humanitaire en Haïti,</w:t>
      </w:r>
    </w:p>
    <w:p w14:paraId="637BBFA0" w14:textId="77777777" w:rsidR="00ED2858" w:rsidRPr="00ED2858" w:rsidRDefault="00ED2858" w:rsidP="00360C90">
      <w:pPr>
        <w:pStyle w:val="SingleTxtG"/>
        <w:ind w:firstLine="567"/>
        <w:rPr>
          <w:iCs/>
        </w:rPr>
      </w:pPr>
      <w:r w:rsidRPr="00ED2858">
        <w:rPr>
          <w:i/>
          <w:iCs/>
        </w:rPr>
        <w:t xml:space="preserve">Rappelant également </w:t>
      </w:r>
      <w:r w:rsidRPr="00ED2858">
        <w:rPr>
          <w:iCs/>
        </w:rPr>
        <w:t xml:space="preserve">les activités menées en Haïti par </w:t>
      </w:r>
      <w:bookmarkStart w:id="0" w:name="_Hlk130649880"/>
      <w:r w:rsidRPr="00ED2858">
        <w:rPr>
          <w:iCs/>
        </w:rPr>
        <w:t>le Haut-Commissariat des Nations Unies aux droits de l’homme</w:t>
      </w:r>
      <w:bookmarkEnd w:id="0"/>
      <w:r w:rsidRPr="00ED2858">
        <w:rPr>
          <w:iCs/>
        </w:rPr>
        <w:t>, par l’intermédiaire de la composante chargée des droits de l’homme du Bureau intégré des Nations Unies en Haïti, et celles de l’expert indépendant,</w:t>
      </w:r>
    </w:p>
    <w:p w14:paraId="1D7347E6" w14:textId="77777777" w:rsidR="00ED2858" w:rsidRPr="00ED2858" w:rsidRDefault="00ED2858" w:rsidP="00360C90">
      <w:pPr>
        <w:pStyle w:val="SingleTxtG"/>
        <w:ind w:firstLine="567"/>
      </w:pPr>
      <w:r w:rsidRPr="00ED2858">
        <w:rPr>
          <w:i/>
          <w:iCs/>
        </w:rPr>
        <w:t>Reconnaissant</w:t>
      </w:r>
      <w:r w:rsidRPr="00ED2858">
        <w:t xml:space="preserve"> le rôle crucial que joue la société civile dans la promotion et la protection des droits de l’homme en Haïti et l’importance de créer et de maintenir un environnement sûr et porteur dans lequel la société civile puisse opérer indépendamment et à l’abri de l’insécurité,</w:t>
      </w:r>
    </w:p>
    <w:p w14:paraId="6A9A162C" w14:textId="5FAA0E35" w:rsidR="00ED2858" w:rsidRPr="00ED2858" w:rsidRDefault="00ED2858" w:rsidP="00360C90">
      <w:pPr>
        <w:pStyle w:val="SingleTxtG"/>
        <w:ind w:firstLine="567"/>
      </w:pPr>
      <w:r w:rsidRPr="00ED2858">
        <w:rPr>
          <w:i/>
          <w:iCs/>
        </w:rPr>
        <w:t xml:space="preserve">Reconnaissant également </w:t>
      </w:r>
      <w:r w:rsidRPr="00ED2858">
        <w:rPr>
          <w:iCs/>
        </w:rPr>
        <w:t xml:space="preserve">le rôle clé des pays de la région ainsi que des organisations régionales et sous-régionales telles que l’Organisation des États </w:t>
      </w:r>
      <w:r w:rsidR="00F349D4">
        <w:rPr>
          <w:iCs/>
        </w:rPr>
        <w:t>a</w:t>
      </w:r>
      <w:r w:rsidRPr="00ED2858">
        <w:rPr>
          <w:iCs/>
        </w:rPr>
        <w:t xml:space="preserve">méricains et la Communauté </w:t>
      </w:r>
      <w:r w:rsidR="00F349D4">
        <w:rPr>
          <w:iCs/>
        </w:rPr>
        <w:t>des Caraïbes</w:t>
      </w:r>
      <w:r w:rsidRPr="00ED2858">
        <w:rPr>
          <w:iCs/>
        </w:rPr>
        <w:t xml:space="preserve"> et d’autres partenaires internationaux, en particulier le soutien de la </w:t>
      </w:r>
      <w:r w:rsidR="00F349D4" w:rsidRPr="00ED2858">
        <w:rPr>
          <w:iCs/>
        </w:rPr>
        <w:t xml:space="preserve">Communauté </w:t>
      </w:r>
      <w:r w:rsidR="00F349D4">
        <w:rPr>
          <w:iCs/>
        </w:rPr>
        <w:t>des Caraïbes</w:t>
      </w:r>
      <w:r w:rsidRPr="00ED2858">
        <w:rPr>
          <w:iCs/>
        </w:rPr>
        <w:t xml:space="preserve"> et de son groupe de personnalités éminentes aux efforts d’Haïti pour surmonter la situation sécuritaire et humanitaire</w:t>
      </w:r>
      <w:r w:rsidR="00360C90">
        <w:rPr>
          <w:iCs/>
        </w:rPr>
        <w:t>,</w:t>
      </w:r>
    </w:p>
    <w:p w14:paraId="34518B19" w14:textId="52B262F6" w:rsidR="00ED2858" w:rsidRPr="00ED2858" w:rsidRDefault="00ED2858" w:rsidP="00360C90">
      <w:pPr>
        <w:pStyle w:val="SingleTxtG"/>
        <w:ind w:firstLine="567"/>
        <w:rPr>
          <w:i/>
        </w:rPr>
      </w:pPr>
      <w:r w:rsidRPr="00ED2858">
        <w:t>1.</w:t>
      </w:r>
      <w:r w:rsidRPr="00ED2858">
        <w:tab/>
      </w:r>
      <w:r w:rsidRPr="00ED2858">
        <w:rPr>
          <w:i/>
        </w:rPr>
        <w:t>Salue</w:t>
      </w:r>
      <w:r w:rsidRPr="00ED2858">
        <w:t xml:space="preserve"> les rapports du Haut-Commissaire </w:t>
      </w:r>
      <w:r w:rsidRPr="00ED2858">
        <w:rPr>
          <w:iCs/>
        </w:rPr>
        <w:t xml:space="preserve">des Nations Unies aux droits de l’homme </w:t>
      </w:r>
      <w:r w:rsidRPr="00ED2858">
        <w:t>avec la participation de l’expert indépendant des droits de l’homme en Haïti</w:t>
      </w:r>
      <w:r w:rsidR="00360C90">
        <w:rPr>
          <w:rStyle w:val="FootnoteReference"/>
        </w:rPr>
        <w:footnoteReference w:id="3"/>
      </w:r>
      <w:r w:rsidRPr="00ED2858">
        <w:t> ;</w:t>
      </w:r>
    </w:p>
    <w:p w14:paraId="37521440" w14:textId="77777777" w:rsidR="00ED2858" w:rsidRPr="00ED2858" w:rsidRDefault="00ED2858" w:rsidP="00360C90">
      <w:pPr>
        <w:pStyle w:val="SingleTxtG"/>
        <w:ind w:firstLine="567"/>
      </w:pPr>
      <w:r w:rsidRPr="00ED2858">
        <w:t>2.</w:t>
      </w:r>
      <w:r w:rsidRPr="00ED2858">
        <w:tab/>
      </w:r>
      <w:r w:rsidRPr="00ED2858">
        <w:rPr>
          <w:i/>
          <w:iCs/>
        </w:rPr>
        <w:t xml:space="preserve">Affirme </w:t>
      </w:r>
      <w:r w:rsidRPr="00ED2858">
        <w:t>qu’il importe de lutter effectivement contre les violences des gangs armés en Haïti et leurs effets néfastes sur la réalisation et la jouissance des droits de l’homme par le peuple haïtien ;</w:t>
      </w:r>
    </w:p>
    <w:p w14:paraId="62DFB0BE" w14:textId="77777777" w:rsidR="00ED2858" w:rsidRPr="00ED2858" w:rsidRDefault="00ED2858" w:rsidP="0068010A">
      <w:pPr>
        <w:pStyle w:val="SingleTxtG"/>
        <w:ind w:firstLine="567"/>
      </w:pPr>
      <w:r w:rsidRPr="00ED2858">
        <w:t>3.</w:t>
      </w:r>
      <w:r w:rsidRPr="00ED2858">
        <w:tab/>
      </w:r>
      <w:r w:rsidRPr="00ED2858">
        <w:rPr>
          <w:i/>
        </w:rPr>
        <w:t>Affirme également</w:t>
      </w:r>
      <w:r w:rsidRPr="00ED2858">
        <w:t xml:space="preserve"> que le rétablissement de la sécurité est nécessaire à l’efficacité de la réponse humanitaire, à l’organisation d’élections démocratiques et à la restauration des institutions démocratiques en Haïti ;</w:t>
      </w:r>
    </w:p>
    <w:p w14:paraId="3A8C4C87" w14:textId="77777777" w:rsidR="00ED2858" w:rsidRPr="00ED2858" w:rsidRDefault="00ED2858" w:rsidP="0068010A">
      <w:pPr>
        <w:pStyle w:val="SingleTxtG"/>
        <w:ind w:firstLine="567"/>
        <w:rPr>
          <w:i/>
          <w:iCs/>
        </w:rPr>
      </w:pPr>
      <w:r w:rsidRPr="00ED2858">
        <w:t>4.</w:t>
      </w:r>
      <w:r w:rsidRPr="00ED2858">
        <w:tab/>
      </w:r>
      <w:r w:rsidRPr="00ED2858">
        <w:rPr>
          <w:i/>
          <w:iCs/>
        </w:rPr>
        <w:t xml:space="preserve">Note </w:t>
      </w:r>
      <w:r w:rsidRPr="00ED2858">
        <w:t>les efforts consentis par le Gouvernement haïtien pour rétablir la sécurité en Haïti, et ses demandes renouvelées d’une action internationale coordonnée et ciblée en vue de soutenir ses efforts ;</w:t>
      </w:r>
    </w:p>
    <w:p w14:paraId="3360B946" w14:textId="5D2E9A1B" w:rsidR="00ED2858" w:rsidRPr="00ED2858" w:rsidRDefault="00ED2858" w:rsidP="0068010A">
      <w:pPr>
        <w:pStyle w:val="SingleTxtG"/>
        <w:ind w:firstLine="567"/>
      </w:pPr>
      <w:r w:rsidRPr="00ED2858">
        <w:t>5.</w:t>
      </w:r>
      <w:r w:rsidRPr="00ED2858">
        <w:tab/>
      </w:r>
      <w:r w:rsidRPr="00ED2858">
        <w:rPr>
          <w:i/>
          <w:iCs/>
        </w:rPr>
        <w:t xml:space="preserve">Demande </w:t>
      </w:r>
      <w:r w:rsidRPr="00ED2858">
        <w:t xml:space="preserve">au Gouvernement haïtien d’intensifier ses efforts en matière de respect, de promotion et de protection des droits de l’homme, de renforcer l’état de droit, notamment les systèmes judiciaire et pénitentiaire, et la lutte contre la violence et la discrimination fondées sur le genre ainsi que contre la corruption et l’impunité, en appuyant les institutions nationales des droits de l’homme et en poursuivant la mise en œuvre des recommandations formulées et acceptées lors du dernier cycle de l’Examen périodique </w:t>
      </w:r>
      <w:r w:rsidRPr="00ED2858">
        <w:lastRenderedPageBreak/>
        <w:t>universel</w:t>
      </w:r>
      <w:r w:rsidR="00A202E9">
        <w:rPr>
          <w:rStyle w:val="FootnoteReference"/>
        </w:rPr>
        <w:footnoteReference w:id="4"/>
      </w:r>
      <w:r w:rsidRPr="00ED2858">
        <w:t>, et des recommandations d’autres organismes des Nations Unies, en particulier celles relatives à l’action des gangs armés ;</w:t>
      </w:r>
    </w:p>
    <w:p w14:paraId="20B0914B" w14:textId="77777777" w:rsidR="00ED2858" w:rsidRPr="00ED2858" w:rsidRDefault="00ED2858" w:rsidP="0068010A">
      <w:pPr>
        <w:pStyle w:val="SingleTxtG"/>
        <w:ind w:firstLine="567"/>
      </w:pPr>
      <w:r w:rsidRPr="00ED2858">
        <w:rPr>
          <w:iCs/>
        </w:rPr>
        <w:t>6.</w:t>
      </w:r>
      <w:r w:rsidRPr="00ED2858">
        <w:rPr>
          <w:iCs/>
        </w:rPr>
        <w:tab/>
      </w:r>
      <w:r w:rsidRPr="00ED2858">
        <w:rPr>
          <w:i/>
        </w:rPr>
        <w:t xml:space="preserve">Invite </w:t>
      </w:r>
      <w:r w:rsidRPr="00ED2858">
        <w:t>les autorités haïtiennes à poursuivre un dialogue inclusif entre tous les acteurs haïtiens concernés afin de trouver une solution durable à la crise multidimensionnelle que traverse Haïti, notamment par l’organisation d’élections libres et transparentes pour la restauration des institutions démocratiques ;</w:t>
      </w:r>
    </w:p>
    <w:p w14:paraId="30C29C13" w14:textId="77777777" w:rsidR="00ED2858" w:rsidRPr="00ED2858" w:rsidRDefault="00ED2858" w:rsidP="0068010A">
      <w:pPr>
        <w:pStyle w:val="SingleTxtG"/>
        <w:ind w:firstLine="567"/>
      </w:pPr>
      <w:r w:rsidRPr="00ED2858">
        <w:t>7.</w:t>
      </w:r>
      <w:r w:rsidRPr="00ED2858">
        <w:tab/>
      </w:r>
      <w:r w:rsidRPr="00ED2858">
        <w:rPr>
          <w:i/>
          <w:iCs/>
        </w:rPr>
        <w:t xml:space="preserve">Exhorte </w:t>
      </w:r>
      <w:r w:rsidRPr="00ED2858">
        <w:t>les États Membres de l’Organisation des Nations Unies, le Haut</w:t>
      </w:r>
      <w:r w:rsidRPr="00ED2858">
        <w:noBreakHyphen/>
        <w:t>Commissariat des Nations Unies aux droits de l’homme, les organismes compétents des Nations Unies et les autres parties prenantes, dans le cadre de leurs mandats, à intensifier leur appui aux mesures et efforts du Gouvernement haïtien visant à lutter contre les violences des gangs armés et contre la vente, l’importation et la circulation illicites d’armes à feu, et à garantir le respect des droits de l’homme en Haïti, en écho notamment aux demandes répétées du Gouvernement haïtien relatives à une action internationale coordonnée et ciblée, y compris par l’intermédiaire d’une assistance technique et d’un renforcement des capacités ;</w:t>
      </w:r>
    </w:p>
    <w:p w14:paraId="34EA56BA" w14:textId="77777777" w:rsidR="00ED2858" w:rsidRPr="00ED2858" w:rsidRDefault="00ED2858" w:rsidP="00A202E9">
      <w:pPr>
        <w:pStyle w:val="SingleTxtG"/>
        <w:ind w:firstLine="567"/>
      </w:pPr>
      <w:r w:rsidRPr="00ED2858">
        <w:t>8.</w:t>
      </w:r>
      <w:r w:rsidRPr="00ED2858">
        <w:tab/>
      </w:r>
      <w:r w:rsidRPr="00ED2858">
        <w:rPr>
          <w:i/>
          <w:iCs/>
        </w:rPr>
        <w:t xml:space="preserve">Demande </w:t>
      </w:r>
      <w:r w:rsidRPr="00ED2858">
        <w:t>au Haut-Commissariat de coopérer avec le Gouvernement haïtien en fournissant une assistance technique et un appui au renforcement des capacités en matière de promotion et de protection des droits de l’homme de la justice, des forces de sécurité et de l’administration pénitentiaire haïtiennes, pour lui permettre de poursuivre sa stratégie visant à lutter contre l’action des gangs armés et à rétablir l’état de droit, ainsi que pour accompagner la mise en œuvre des recommandations formulées et acceptées lors du dernier cycle de l’Examen périodique universel ;</w:t>
      </w:r>
    </w:p>
    <w:p w14:paraId="1D0DDE89" w14:textId="77777777" w:rsidR="00ED2858" w:rsidRPr="00ED2858" w:rsidRDefault="00ED2858" w:rsidP="00A202E9">
      <w:pPr>
        <w:pStyle w:val="SingleTxtG"/>
        <w:ind w:firstLine="567"/>
      </w:pPr>
      <w:r w:rsidRPr="00ED2858">
        <w:t>9.</w:t>
      </w:r>
      <w:r w:rsidRPr="00ED2858">
        <w:tab/>
      </w:r>
      <w:r w:rsidRPr="00ED2858">
        <w:rPr>
          <w:i/>
          <w:iCs/>
        </w:rPr>
        <w:t xml:space="preserve">Décide </w:t>
      </w:r>
      <w:r w:rsidRPr="00ED2858">
        <w:rPr>
          <w:iCs/>
        </w:rPr>
        <w:t>de proroger</w:t>
      </w:r>
      <w:r w:rsidRPr="00ED2858">
        <w:rPr>
          <w:i/>
          <w:iCs/>
        </w:rPr>
        <w:t xml:space="preserve"> </w:t>
      </w:r>
      <w:r w:rsidRPr="00ED2858">
        <w:t xml:space="preserve">pour une période d’un an renouvelable le mandat de l’expert indépendant des droits de l’homme désigné par le Haut-Commissaire, ayant pour mission, avec l’assistance du Haut-Commissariat et en collaboration avec le </w:t>
      </w:r>
      <w:r w:rsidRPr="00ED2858">
        <w:rPr>
          <w:iCs/>
        </w:rPr>
        <w:t>Bureau intégré des Nations Unies en Haïti</w:t>
      </w:r>
      <w:r w:rsidRPr="00ED2858">
        <w:t>, de suivre l’évolution de la situation des droits de l’homme en Haïti, en veillant notamment à intégrer une perspective de genre dans l’ensemble de ses travaux ;</w:t>
      </w:r>
    </w:p>
    <w:p w14:paraId="381EF3C1" w14:textId="2F30FD35" w:rsidR="00ED2858" w:rsidRPr="00ED2858" w:rsidRDefault="00ED2858" w:rsidP="00A202E9">
      <w:pPr>
        <w:pStyle w:val="SingleTxtG"/>
        <w:ind w:firstLine="567"/>
      </w:pPr>
      <w:r w:rsidRPr="00ED2858">
        <w:t>10.</w:t>
      </w:r>
      <w:r w:rsidRPr="00ED2858">
        <w:tab/>
      </w:r>
      <w:r w:rsidRPr="00ED2858">
        <w:rPr>
          <w:i/>
        </w:rPr>
        <w:t>Prie</w:t>
      </w:r>
      <w:r w:rsidRPr="00ED2858">
        <w:t xml:space="preserve"> l’expert indépendant d’apporter une attention accrue à la situation des enfants, des femmes</w:t>
      </w:r>
      <w:r w:rsidR="00E267BD">
        <w:t xml:space="preserve"> et</w:t>
      </w:r>
      <w:r w:rsidRPr="00ED2858">
        <w:t xml:space="preserve"> des filles </w:t>
      </w:r>
      <w:r w:rsidR="00E267BD">
        <w:t>ainsi qu’</w:t>
      </w:r>
      <w:r w:rsidRPr="00ED2858">
        <w:t>à la traite des personnes, de surveiller l’impact du trafic illicite d’armes sur la situation des droits de l’homme en Haïti, et de formuler des recommandations pour consolider les réponses nationales, régionales et internationales dans ce cadre ;</w:t>
      </w:r>
    </w:p>
    <w:p w14:paraId="1679FF9E" w14:textId="26AF2463" w:rsidR="00ED2858" w:rsidRPr="00ED2858" w:rsidRDefault="00ED2858" w:rsidP="00A202E9">
      <w:pPr>
        <w:pStyle w:val="SingleTxtG"/>
        <w:ind w:firstLine="567"/>
      </w:pPr>
      <w:r w:rsidRPr="00ED2858">
        <w:t>11.</w:t>
      </w:r>
      <w:r w:rsidRPr="00ED2858">
        <w:rPr>
          <w:i/>
        </w:rPr>
        <w:tab/>
        <w:t xml:space="preserve">Prie également </w:t>
      </w:r>
      <w:r w:rsidRPr="00ED2858">
        <w:t>l’expert indépendant de fournir des conseils et une assistance technique au Gouvernement haïtien, aux institutions nationales des droits de l’homme et aux organisations de la société civile, notamment les organisations de défense des droits des femmes, pour accompagner leurs efforts en matière de respect, de promotion et de protection des droits de l’homme ;</w:t>
      </w:r>
    </w:p>
    <w:p w14:paraId="61501555" w14:textId="1C6922D6" w:rsidR="00ED2858" w:rsidRPr="00ED2858" w:rsidRDefault="00ED2858" w:rsidP="00A202E9">
      <w:pPr>
        <w:pStyle w:val="SingleTxtG"/>
        <w:ind w:firstLine="567"/>
      </w:pPr>
      <w:r w:rsidRPr="00ED2858">
        <w:t>12.</w:t>
      </w:r>
      <w:r w:rsidRPr="00ED2858">
        <w:tab/>
      </w:r>
      <w:r w:rsidRPr="00ED2858">
        <w:rPr>
          <w:i/>
        </w:rPr>
        <w:t>Exhorte</w:t>
      </w:r>
      <w:r w:rsidRPr="00ED2858">
        <w:t xml:space="preserve"> tous les États à renforcer les mesures visant à prévenir, </w:t>
      </w:r>
      <w:r w:rsidR="00E267BD">
        <w:t xml:space="preserve">à </w:t>
      </w:r>
      <w:r w:rsidRPr="00ED2858">
        <w:t xml:space="preserve">détecter et </w:t>
      </w:r>
      <w:r w:rsidR="00E267BD">
        <w:t xml:space="preserve">à </w:t>
      </w:r>
      <w:r w:rsidRPr="00ED2858">
        <w:t xml:space="preserve">perturber les chaînes </w:t>
      </w:r>
      <w:r w:rsidR="00702EEB">
        <w:t xml:space="preserve">transnationales </w:t>
      </w:r>
      <w:r w:rsidRPr="00ED2858">
        <w:t>d’approvisionnement en armes illicites, conformément à leurs obligations internationales ;</w:t>
      </w:r>
    </w:p>
    <w:p w14:paraId="584F3BEA" w14:textId="5901D3CB" w:rsidR="00ED2858" w:rsidRPr="00ED2858" w:rsidRDefault="00ED2858" w:rsidP="00A202E9">
      <w:pPr>
        <w:pStyle w:val="SingleTxtG"/>
        <w:ind w:firstLine="567"/>
      </w:pPr>
      <w:r w:rsidRPr="00ED2858">
        <w:t>13.</w:t>
      </w:r>
      <w:r w:rsidRPr="00ED2858">
        <w:tab/>
      </w:r>
      <w:r w:rsidRPr="00ED2858">
        <w:rPr>
          <w:i/>
          <w:iCs/>
        </w:rPr>
        <w:t xml:space="preserve">Prie </w:t>
      </w:r>
      <w:r w:rsidRPr="00ED2858">
        <w:t>le Haut-Commissaire de lui présenter, dans le cadre d’un dialogue interactif avec la participation de l’expert indépendant des droits de l’homme, une mise à jour orale sur la situation des droits de l’homme en Haïti à sa soixant</w:t>
      </w:r>
      <w:r w:rsidR="0017656D">
        <w:t>e</w:t>
      </w:r>
      <w:r w:rsidR="00C641D9">
        <w:t>-troisième</w:t>
      </w:r>
      <w:r w:rsidRPr="00ED2858">
        <w:t xml:space="preserve"> session et un rapport sur la question à sa soixante</w:t>
      </w:r>
      <w:r w:rsidR="00C641D9">
        <w:t>-quatrième</w:t>
      </w:r>
      <w:r w:rsidRPr="00ED2858">
        <w:t xml:space="preserve"> session ;</w:t>
      </w:r>
    </w:p>
    <w:p w14:paraId="72BA5845" w14:textId="77777777" w:rsidR="00ED2858" w:rsidRPr="00ED2858" w:rsidRDefault="00ED2858" w:rsidP="00A202E9">
      <w:pPr>
        <w:pStyle w:val="SingleTxtG"/>
        <w:ind w:firstLine="567"/>
        <w:rPr>
          <w:i/>
        </w:rPr>
      </w:pPr>
      <w:r w:rsidRPr="00ED2858">
        <w:t>14.</w:t>
      </w:r>
      <w:r w:rsidRPr="00ED2858">
        <w:tab/>
      </w:r>
      <w:r w:rsidRPr="00ED2858">
        <w:rPr>
          <w:i/>
        </w:rPr>
        <w:t xml:space="preserve">Encourage </w:t>
      </w:r>
      <w:r w:rsidRPr="00ED2858">
        <w:rPr>
          <w:iCs/>
        </w:rPr>
        <w:t xml:space="preserve">les autorités haïtiennes et le Haut-Commissariat </w:t>
      </w:r>
      <w:r w:rsidRPr="00ED2858">
        <w:t xml:space="preserve">à avancer sur la question de la création d’un </w:t>
      </w:r>
      <w:r w:rsidRPr="00ED2858">
        <w:rPr>
          <w:iCs/>
        </w:rPr>
        <w:t>bureau du Haut-Commissariat en Haïti, comme l’a suggéré le Gouvernement haïtien lors de la visite du Haut-Commissaire en Haïti du 8 au 10 février 2023 ;</w:t>
      </w:r>
    </w:p>
    <w:p w14:paraId="71D94E38" w14:textId="77777777" w:rsidR="00ED2858" w:rsidRPr="00ED2858" w:rsidRDefault="00ED2858" w:rsidP="00A202E9">
      <w:pPr>
        <w:pStyle w:val="SingleTxtG"/>
        <w:ind w:firstLine="567"/>
      </w:pPr>
      <w:r w:rsidRPr="00ED2858">
        <w:rPr>
          <w:iCs/>
        </w:rPr>
        <w:t>15.</w:t>
      </w:r>
      <w:r w:rsidRPr="00ED2858">
        <w:rPr>
          <w:iCs/>
        </w:rPr>
        <w:tab/>
      </w:r>
      <w:r w:rsidRPr="00ED2858">
        <w:rPr>
          <w:i/>
        </w:rPr>
        <w:t>Prie</w:t>
      </w:r>
      <w:r w:rsidRPr="00ED2858">
        <w:t xml:space="preserve"> le Secrétaire général de mettre à la disposition du Haut-Commissariat le soutien financier, technique et logistique nécessaire à la création d’un </w:t>
      </w:r>
      <w:r w:rsidRPr="00ED2858">
        <w:rPr>
          <w:iCs/>
        </w:rPr>
        <w:t>bureau du Haut-Commissariat en Haïti</w:t>
      </w:r>
      <w:r w:rsidRPr="00ED2858">
        <w:t> ;</w:t>
      </w:r>
    </w:p>
    <w:p w14:paraId="66C3513B" w14:textId="389A9DA0" w:rsidR="00130C41" w:rsidRDefault="00ED2858" w:rsidP="00A202E9">
      <w:pPr>
        <w:pStyle w:val="SingleTxtG"/>
        <w:ind w:firstLine="567"/>
        <w:rPr>
          <w:lang w:val="fr-FR"/>
        </w:rPr>
      </w:pPr>
      <w:r w:rsidRPr="00ED2858">
        <w:rPr>
          <w:lang w:val="fr-FR"/>
        </w:rPr>
        <w:lastRenderedPageBreak/>
        <w:t>16.</w:t>
      </w:r>
      <w:r w:rsidRPr="00ED2858">
        <w:rPr>
          <w:lang w:val="fr-FR"/>
        </w:rPr>
        <w:tab/>
      </w:r>
      <w:r w:rsidRPr="00ED2858">
        <w:rPr>
          <w:i/>
          <w:iCs/>
          <w:lang w:val="fr-FR"/>
        </w:rPr>
        <w:t xml:space="preserve">Décide </w:t>
      </w:r>
      <w:r w:rsidRPr="00ED2858">
        <w:rPr>
          <w:lang w:val="fr-FR"/>
        </w:rPr>
        <w:t>de rester saisi de la question.</w:t>
      </w:r>
    </w:p>
    <w:p w14:paraId="7C352BC9" w14:textId="1D6B01BB" w:rsidR="0008167F" w:rsidRPr="00A202E9" w:rsidRDefault="00A202E9" w:rsidP="00A202E9">
      <w:pPr>
        <w:spacing w:before="240"/>
        <w:jc w:val="center"/>
        <w:rPr>
          <w:u w:val="single"/>
        </w:rPr>
      </w:pPr>
      <w:r>
        <w:rPr>
          <w:u w:val="single"/>
        </w:rPr>
        <w:tab/>
      </w:r>
      <w:r>
        <w:rPr>
          <w:u w:val="single"/>
        </w:rPr>
        <w:tab/>
      </w:r>
      <w:r>
        <w:rPr>
          <w:u w:val="single"/>
        </w:rPr>
        <w:tab/>
      </w:r>
    </w:p>
    <w:sectPr w:rsidR="0008167F" w:rsidRPr="00A202E9" w:rsidSect="00130C41">
      <w:headerReference w:type="even" r:id="rId10"/>
      <w:headerReference w:type="default" r:id="rId11"/>
      <w:footerReference w:type="even" r:id="rId12"/>
      <w:footerReference w:type="default" r:id="rId13"/>
      <w:footerReference w:type="first" r:id="rId14"/>
      <w:endnotePr>
        <w:numFmt w:val="decimal"/>
      </w:endnotePr>
      <w:pgSz w:w="11907" w:h="16840" w:code="9"/>
      <w:pgMar w:top="1417" w:right="1134" w:bottom="1134" w:left="1134" w:header="850"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6AC44E" w14:textId="77777777" w:rsidR="00B85BE8" w:rsidRDefault="00B85BE8"/>
  </w:endnote>
  <w:endnote w:type="continuationSeparator" w:id="0">
    <w:p w14:paraId="01BA92CF" w14:textId="77777777" w:rsidR="00B85BE8" w:rsidRDefault="00B85BE8"/>
  </w:endnote>
  <w:endnote w:type="continuationNotice" w:id="1">
    <w:p w14:paraId="7B9CDB2E" w14:textId="77777777" w:rsidR="00B85BE8" w:rsidRDefault="00B85B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773F2" w14:textId="77777777" w:rsidR="00130C41" w:rsidRPr="00130C41" w:rsidRDefault="00130C41" w:rsidP="00130C41">
    <w:pPr>
      <w:pStyle w:val="Footer"/>
      <w:tabs>
        <w:tab w:val="right" w:pos="9638"/>
      </w:tabs>
      <w:rPr>
        <w:sz w:val="18"/>
      </w:rPr>
    </w:pPr>
    <w:r w:rsidRPr="00130C41">
      <w:rPr>
        <w:b/>
        <w:sz w:val="18"/>
      </w:rPr>
      <w:fldChar w:fldCharType="begin"/>
    </w:r>
    <w:r w:rsidRPr="00130C41">
      <w:rPr>
        <w:b/>
        <w:sz w:val="18"/>
      </w:rPr>
      <w:instrText xml:space="preserve"> PAGE  \* MERGEFORMAT </w:instrText>
    </w:r>
    <w:r w:rsidRPr="00130C41">
      <w:rPr>
        <w:b/>
        <w:sz w:val="18"/>
      </w:rPr>
      <w:fldChar w:fldCharType="separate"/>
    </w:r>
    <w:r w:rsidR="006E0B3E">
      <w:rPr>
        <w:b/>
        <w:noProof/>
        <w:sz w:val="18"/>
      </w:rPr>
      <w:t>2</w:t>
    </w:r>
    <w:r w:rsidRPr="00130C41">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A4A2C" w14:textId="77777777" w:rsidR="00130C41" w:rsidRPr="00130C41" w:rsidRDefault="00130C41" w:rsidP="00130C41">
    <w:pPr>
      <w:pStyle w:val="Footer"/>
      <w:tabs>
        <w:tab w:val="right" w:pos="9638"/>
      </w:tabs>
      <w:rPr>
        <w:b/>
        <w:sz w:val="18"/>
      </w:rPr>
    </w:pPr>
    <w:r>
      <w:tab/>
    </w:r>
    <w:r w:rsidRPr="00130C41">
      <w:rPr>
        <w:b/>
        <w:sz w:val="18"/>
      </w:rPr>
      <w:fldChar w:fldCharType="begin"/>
    </w:r>
    <w:r w:rsidRPr="00130C41">
      <w:rPr>
        <w:b/>
        <w:sz w:val="18"/>
      </w:rPr>
      <w:instrText xml:space="preserve"> PAGE  \* MERGEFORMAT </w:instrText>
    </w:r>
    <w:r w:rsidRPr="00130C41">
      <w:rPr>
        <w:b/>
        <w:sz w:val="18"/>
      </w:rPr>
      <w:fldChar w:fldCharType="separate"/>
    </w:r>
    <w:r>
      <w:rPr>
        <w:b/>
        <w:noProof/>
        <w:sz w:val="18"/>
      </w:rPr>
      <w:t>3</w:t>
    </w:r>
    <w:r w:rsidRPr="00130C41">
      <w:rPr>
        <w:b/>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2258A" w14:textId="22D65AEB" w:rsidR="008D6059" w:rsidRPr="000D5778" w:rsidRDefault="000D5778" w:rsidP="000D5778">
    <w:pPr>
      <w:pStyle w:val="Footer"/>
      <w:tabs>
        <w:tab w:val="left" w:pos="6520"/>
        <w:tab w:val="right" w:pos="9638"/>
      </w:tabs>
      <w:spacing w:before="120"/>
      <w:rPr>
        <w:sz w:val="20"/>
      </w:rPr>
    </w:pPr>
    <w:r>
      <w:rPr>
        <w:sz w:val="20"/>
      </w:rPr>
      <w:tab/>
    </w:r>
    <w:r w:rsidRPr="000D5778">
      <w:rPr>
        <w:noProof/>
        <w:sz w:val="20"/>
        <w:lang w:eastAsia="fr-CH"/>
      </w:rPr>
      <w:drawing>
        <wp:inline distT="0" distB="0" distL="0" distR="0" wp14:anchorId="6E0CFC1D" wp14:editId="0330CB0B">
          <wp:extent cx="1105200" cy="234000"/>
          <wp:effectExtent l="0" t="0" r="0" b="0"/>
          <wp:docPr id="2111662833" name="Image 3" descr="recycle_Fren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cycle_Frenc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5200" cy="234000"/>
                  </a:xfrm>
                  <a:prstGeom prst="rect">
                    <a:avLst/>
                  </a:prstGeom>
                  <a:noFill/>
                  <a:ln>
                    <a:noFill/>
                  </a:ln>
                </pic:spPr>
              </pic:pic>
            </a:graphicData>
          </a:graphic>
        </wp:inline>
      </w:drawing>
    </w:r>
    <w:r>
      <w:rPr>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D8045B" w14:textId="77777777" w:rsidR="00B85BE8" w:rsidRPr="00D27D5E" w:rsidRDefault="00B85BE8" w:rsidP="00D27D5E">
      <w:pPr>
        <w:tabs>
          <w:tab w:val="right" w:pos="2155"/>
        </w:tabs>
        <w:spacing w:after="80"/>
        <w:ind w:left="680"/>
        <w:rPr>
          <w:u w:val="single"/>
        </w:rPr>
      </w:pPr>
      <w:r>
        <w:rPr>
          <w:u w:val="single"/>
        </w:rPr>
        <w:tab/>
      </w:r>
    </w:p>
  </w:footnote>
  <w:footnote w:type="continuationSeparator" w:id="0">
    <w:p w14:paraId="69302B76" w14:textId="77777777" w:rsidR="00B85BE8" w:rsidRPr="00D72E7E" w:rsidRDefault="00B85BE8" w:rsidP="00D72E7E">
      <w:pPr>
        <w:tabs>
          <w:tab w:val="right" w:pos="2155"/>
        </w:tabs>
        <w:spacing w:after="80"/>
        <w:ind w:left="680"/>
        <w:rPr>
          <w:u w:val="single"/>
        </w:rPr>
      </w:pPr>
      <w:r w:rsidRPr="00D72E7E">
        <w:rPr>
          <w:u w:val="single"/>
        </w:rPr>
        <w:tab/>
      </w:r>
    </w:p>
  </w:footnote>
  <w:footnote w:type="continuationNotice" w:id="1">
    <w:p w14:paraId="39C68A82" w14:textId="77777777" w:rsidR="00B85BE8" w:rsidRDefault="00B85BE8"/>
  </w:footnote>
  <w:footnote w:id="2">
    <w:p w14:paraId="08E0B06A" w14:textId="146ABD99" w:rsidR="00360C90" w:rsidRPr="00360C90" w:rsidRDefault="00360C90" w:rsidP="00360C90">
      <w:pPr>
        <w:pStyle w:val="FootnoteText"/>
        <w:widowControl w:val="0"/>
        <w:tabs>
          <w:tab w:val="clear" w:pos="1021"/>
          <w:tab w:val="right" w:pos="1020"/>
        </w:tabs>
        <w:rPr>
          <w:lang w:val="en-US"/>
        </w:rPr>
      </w:pPr>
      <w:r w:rsidRPr="00646EA9">
        <w:rPr>
          <w:lang w:val="fr-FR"/>
        </w:rPr>
        <w:tab/>
      </w:r>
      <w:r>
        <w:rPr>
          <w:rStyle w:val="FootnoteReference"/>
        </w:rPr>
        <w:footnoteRef/>
      </w:r>
      <w:r>
        <w:tab/>
      </w:r>
      <w:r w:rsidRPr="00646EA9">
        <w:rPr>
          <w:lang w:val="en-US"/>
        </w:rPr>
        <w:t>A/77/895-S/2023/363</w:t>
      </w:r>
      <w:r w:rsidR="0017656D">
        <w:rPr>
          <w:lang w:val="en-US"/>
        </w:rPr>
        <w:t xml:space="preserve">, </w:t>
      </w:r>
      <w:r w:rsidR="00D53DFD">
        <w:rPr>
          <w:lang w:val="en-US"/>
        </w:rPr>
        <w:t>A/78/842-S/2024/384</w:t>
      </w:r>
      <w:r w:rsidR="0017656D">
        <w:rPr>
          <w:lang w:val="en-US"/>
        </w:rPr>
        <w:t xml:space="preserve"> et </w:t>
      </w:r>
      <w:r w:rsidR="0017656D" w:rsidRPr="0017656D">
        <w:rPr>
          <w:lang w:val="en-US"/>
        </w:rPr>
        <w:t>A/79/878–S/2025/247</w:t>
      </w:r>
      <w:r w:rsidRPr="00646EA9">
        <w:rPr>
          <w:lang w:val="en-US"/>
        </w:rPr>
        <w:t>.</w:t>
      </w:r>
    </w:p>
  </w:footnote>
  <w:footnote w:id="3">
    <w:p w14:paraId="208B55A1" w14:textId="17E222C6" w:rsidR="00360C90" w:rsidRPr="00F46F64" w:rsidRDefault="00360C90" w:rsidP="00360C90">
      <w:pPr>
        <w:pStyle w:val="FootnoteText"/>
        <w:widowControl w:val="0"/>
        <w:tabs>
          <w:tab w:val="clear" w:pos="1021"/>
          <w:tab w:val="right" w:pos="1020"/>
        </w:tabs>
        <w:rPr>
          <w:lang w:val="en-US"/>
        </w:rPr>
      </w:pPr>
      <w:r>
        <w:tab/>
      </w:r>
      <w:r>
        <w:rPr>
          <w:rStyle w:val="FootnoteReference"/>
        </w:rPr>
        <w:footnoteRef/>
      </w:r>
      <w:r w:rsidRPr="00F46F64">
        <w:rPr>
          <w:lang w:val="en-US"/>
        </w:rPr>
        <w:tab/>
        <w:t>A/HRC/54/79, A/HRC/55/76</w:t>
      </w:r>
      <w:r w:rsidR="00D658DE">
        <w:rPr>
          <w:lang w:val="en-US"/>
        </w:rPr>
        <w:t xml:space="preserve">, </w:t>
      </w:r>
      <w:r w:rsidRPr="00F46F64">
        <w:rPr>
          <w:lang w:val="en-US"/>
        </w:rPr>
        <w:t>A/HRC/57/41</w:t>
      </w:r>
      <w:r w:rsidR="001052B9">
        <w:rPr>
          <w:lang w:val="en-US"/>
        </w:rPr>
        <w:t>, A/HRC/58/76</w:t>
      </w:r>
      <w:r w:rsidR="00D658DE">
        <w:rPr>
          <w:lang w:val="en-US"/>
        </w:rPr>
        <w:t xml:space="preserve"> et A/HRC/61/74</w:t>
      </w:r>
      <w:r w:rsidR="00CF7BF0" w:rsidRPr="00F46F64">
        <w:rPr>
          <w:lang w:val="en-US"/>
        </w:rPr>
        <w:t>.</w:t>
      </w:r>
    </w:p>
  </w:footnote>
  <w:footnote w:id="4">
    <w:p w14:paraId="5FDAE4AF" w14:textId="10454BCC" w:rsidR="00A202E9" w:rsidRPr="00646EA9" w:rsidRDefault="00A202E9" w:rsidP="00A202E9">
      <w:pPr>
        <w:pStyle w:val="FootnoteText"/>
        <w:widowControl w:val="0"/>
        <w:tabs>
          <w:tab w:val="clear" w:pos="1021"/>
          <w:tab w:val="right" w:pos="1020"/>
        </w:tabs>
        <w:rPr>
          <w:lang w:val="fr-FR"/>
        </w:rPr>
      </w:pPr>
      <w:r w:rsidRPr="00F46F64">
        <w:rPr>
          <w:lang w:val="en-US"/>
        </w:rPr>
        <w:tab/>
      </w:r>
      <w:r>
        <w:rPr>
          <w:rStyle w:val="FootnoteReference"/>
        </w:rPr>
        <w:footnoteRef/>
      </w:r>
      <w:r w:rsidRPr="00646EA9">
        <w:rPr>
          <w:lang w:val="fr-FR"/>
        </w:rPr>
        <w:tab/>
      </w:r>
      <w:r w:rsidRPr="00A202E9">
        <w:rPr>
          <w:lang w:val="fr-CH"/>
        </w:rPr>
        <w:t>Voir A/HRC/50/15 et A/HRC/50/15/Add.1.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06E19" w14:textId="3A416391" w:rsidR="00130C41" w:rsidRPr="008E4CA6" w:rsidRDefault="00130C41" w:rsidP="00041330">
    <w:pPr>
      <w:pStyle w:val="Header"/>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DFB42" w14:textId="2906BC26" w:rsidR="00130C41" w:rsidRPr="00A202E9" w:rsidRDefault="00130C41" w:rsidP="00130C41">
    <w:pPr>
      <w:pStyle w:val="Header"/>
      <w:jc w:val="right"/>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EE8CA7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E3699E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164D40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B486F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E4C884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49016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D81EB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32CF90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178942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51CCE1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2" w15:restartNumberingAfterBreak="0">
    <w:nsid w:val="2B3F49C6"/>
    <w:multiLevelType w:val="singleLevel"/>
    <w:tmpl w:val="720CB540"/>
    <w:lvl w:ilvl="0">
      <w:start w:val="1"/>
      <w:numFmt w:val="lowerRoman"/>
      <w:lvlText w:val="(%1)"/>
      <w:lvlJc w:val="right"/>
      <w:pPr>
        <w:tabs>
          <w:tab w:val="num" w:pos="2160"/>
        </w:tabs>
        <w:ind w:left="2160" w:hanging="516"/>
      </w:pPr>
    </w:lvl>
  </w:abstractNum>
  <w:abstractNum w:abstractNumId="13" w15:restartNumberingAfterBreak="0">
    <w:nsid w:val="2EA77B50"/>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4" w15:restartNumberingAfterBreak="0">
    <w:nsid w:val="3ACF4EB2"/>
    <w:multiLevelType w:val="hybridMultilevel"/>
    <w:tmpl w:val="3F2CCC0E"/>
    <w:lvl w:ilvl="0" w:tplc="78607ACC">
      <w:start w:val="1"/>
      <w:numFmt w:val="bullet"/>
      <w:lvlText w:val="•"/>
      <w:lvlJc w:val="left"/>
      <w:pPr>
        <w:tabs>
          <w:tab w:val="num" w:pos="2268"/>
        </w:tabs>
        <w:ind w:left="2268" w:hanging="170"/>
      </w:pPr>
      <w:rPr>
        <w:rFonts w:ascii="Times New Roman" w:hAnsi="Times New Roman" w:cs="Times New Roman" w:hint="default"/>
      </w:rPr>
    </w:lvl>
    <w:lvl w:ilvl="1" w:tplc="040C0003" w:tentative="1">
      <w:start w:val="1"/>
      <w:numFmt w:val="bullet"/>
      <w:lvlText w:val="o"/>
      <w:lvlJc w:val="left"/>
      <w:pPr>
        <w:tabs>
          <w:tab w:val="num" w:pos="3708"/>
        </w:tabs>
        <w:ind w:left="3708" w:hanging="360"/>
      </w:pPr>
      <w:rPr>
        <w:rFonts w:ascii="Courier New" w:hAnsi="Courier New" w:hint="default"/>
      </w:rPr>
    </w:lvl>
    <w:lvl w:ilvl="2" w:tplc="040C0005" w:tentative="1">
      <w:start w:val="1"/>
      <w:numFmt w:val="bullet"/>
      <w:lvlText w:val=""/>
      <w:lvlJc w:val="left"/>
      <w:pPr>
        <w:tabs>
          <w:tab w:val="num" w:pos="4428"/>
        </w:tabs>
        <w:ind w:left="4428" w:hanging="360"/>
      </w:pPr>
      <w:rPr>
        <w:rFonts w:ascii="Wingdings" w:hAnsi="Wingdings" w:hint="default"/>
      </w:rPr>
    </w:lvl>
    <w:lvl w:ilvl="3" w:tplc="040C0001" w:tentative="1">
      <w:start w:val="1"/>
      <w:numFmt w:val="bullet"/>
      <w:lvlText w:val=""/>
      <w:lvlJc w:val="left"/>
      <w:pPr>
        <w:tabs>
          <w:tab w:val="num" w:pos="5148"/>
        </w:tabs>
        <w:ind w:left="5148" w:hanging="360"/>
      </w:pPr>
      <w:rPr>
        <w:rFonts w:ascii="Symbol" w:hAnsi="Symbol" w:hint="default"/>
      </w:rPr>
    </w:lvl>
    <w:lvl w:ilvl="4" w:tplc="040C0003" w:tentative="1">
      <w:start w:val="1"/>
      <w:numFmt w:val="bullet"/>
      <w:lvlText w:val="o"/>
      <w:lvlJc w:val="left"/>
      <w:pPr>
        <w:tabs>
          <w:tab w:val="num" w:pos="5868"/>
        </w:tabs>
        <w:ind w:left="5868" w:hanging="360"/>
      </w:pPr>
      <w:rPr>
        <w:rFonts w:ascii="Courier New" w:hAnsi="Courier New" w:hint="default"/>
      </w:rPr>
    </w:lvl>
    <w:lvl w:ilvl="5" w:tplc="040C0005" w:tentative="1">
      <w:start w:val="1"/>
      <w:numFmt w:val="bullet"/>
      <w:lvlText w:val=""/>
      <w:lvlJc w:val="left"/>
      <w:pPr>
        <w:tabs>
          <w:tab w:val="num" w:pos="6588"/>
        </w:tabs>
        <w:ind w:left="6588" w:hanging="360"/>
      </w:pPr>
      <w:rPr>
        <w:rFonts w:ascii="Wingdings" w:hAnsi="Wingdings" w:hint="default"/>
      </w:rPr>
    </w:lvl>
    <w:lvl w:ilvl="6" w:tplc="040C0001" w:tentative="1">
      <w:start w:val="1"/>
      <w:numFmt w:val="bullet"/>
      <w:lvlText w:val=""/>
      <w:lvlJc w:val="left"/>
      <w:pPr>
        <w:tabs>
          <w:tab w:val="num" w:pos="7308"/>
        </w:tabs>
        <w:ind w:left="7308" w:hanging="360"/>
      </w:pPr>
      <w:rPr>
        <w:rFonts w:ascii="Symbol" w:hAnsi="Symbol" w:hint="default"/>
      </w:rPr>
    </w:lvl>
    <w:lvl w:ilvl="7" w:tplc="040C0003" w:tentative="1">
      <w:start w:val="1"/>
      <w:numFmt w:val="bullet"/>
      <w:lvlText w:val="o"/>
      <w:lvlJc w:val="left"/>
      <w:pPr>
        <w:tabs>
          <w:tab w:val="num" w:pos="8028"/>
        </w:tabs>
        <w:ind w:left="8028" w:hanging="360"/>
      </w:pPr>
      <w:rPr>
        <w:rFonts w:ascii="Courier New" w:hAnsi="Courier New" w:hint="default"/>
      </w:rPr>
    </w:lvl>
    <w:lvl w:ilvl="8" w:tplc="040C0005" w:tentative="1">
      <w:start w:val="1"/>
      <w:numFmt w:val="bullet"/>
      <w:lvlText w:val=""/>
      <w:lvlJc w:val="left"/>
      <w:pPr>
        <w:tabs>
          <w:tab w:val="num" w:pos="8748"/>
        </w:tabs>
        <w:ind w:left="8748" w:hanging="360"/>
      </w:pPr>
      <w:rPr>
        <w:rFonts w:ascii="Wingdings" w:hAnsi="Wingdings" w:hint="default"/>
      </w:rPr>
    </w:lvl>
  </w:abstractNum>
  <w:abstractNum w:abstractNumId="15"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8AD07B2"/>
    <w:multiLevelType w:val="hybridMultilevel"/>
    <w:tmpl w:val="D7D47906"/>
    <w:lvl w:ilvl="0" w:tplc="3B64B33E">
      <w:start w:val="1"/>
      <w:numFmt w:val="bullet"/>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3141"/>
        </w:tabs>
        <w:ind w:left="3141" w:hanging="360"/>
      </w:pPr>
      <w:rPr>
        <w:rFonts w:ascii="Courier New" w:hAnsi="Courier New" w:hint="default"/>
      </w:rPr>
    </w:lvl>
    <w:lvl w:ilvl="2" w:tplc="040C0005" w:tentative="1">
      <w:start w:val="1"/>
      <w:numFmt w:val="bullet"/>
      <w:lvlText w:val=""/>
      <w:lvlJc w:val="left"/>
      <w:pPr>
        <w:tabs>
          <w:tab w:val="num" w:pos="3861"/>
        </w:tabs>
        <w:ind w:left="3861" w:hanging="360"/>
      </w:pPr>
      <w:rPr>
        <w:rFonts w:ascii="Wingdings" w:hAnsi="Wingdings" w:hint="default"/>
      </w:rPr>
    </w:lvl>
    <w:lvl w:ilvl="3" w:tplc="040C0001" w:tentative="1">
      <w:start w:val="1"/>
      <w:numFmt w:val="bullet"/>
      <w:lvlText w:val=""/>
      <w:lvlJc w:val="left"/>
      <w:pPr>
        <w:tabs>
          <w:tab w:val="num" w:pos="4581"/>
        </w:tabs>
        <w:ind w:left="4581" w:hanging="360"/>
      </w:pPr>
      <w:rPr>
        <w:rFonts w:ascii="Symbol" w:hAnsi="Symbol" w:hint="default"/>
      </w:rPr>
    </w:lvl>
    <w:lvl w:ilvl="4" w:tplc="040C0003" w:tentative="1">
      <w:start w:val="1"/>
      <w:numFmt w:val="bullet"/>
      <w:lvlText w:val="o"/>
      <w:lvlJc w:val="left"/>
      <w:pPr>
        <w:tabs>
          <w:tab w:val="num" w:pos="5301"/>
        </w:tabs>
        <w:ind w:left="5301" w:hanging="360"/>
      </w:pPr>
      <w:rPr>
        <w:rFonts w:ascii="Courier New" w:hAnsi="Courier New" w:hint="default"/>
      </w:rPr>
    </w:lvl>
    <w:lvl w:ilvl="5" w:tplc="040C0005" w:tentative="1">
      <w:start w:val="1"/>
      <w:numFmt w:val="bullet"/>
      <w:lvlText w:val=""/>
      <w:lvlJc w:val="left"/>
      <w:pPr>
        <w:tabs>
          <w:tab w:val="num" w:pos="6021"/>
        </w:tabs>
        <w:ind w:left="6021" w:hanging="360"/>
      </w:pPr>
      <w:rPr>
        <w:rFonts w:ascii="Wingdings" w:hAnsi="Wingdings" w:hint="default"/>
      </w:rPr>
    </w:lvl>
    <w:lvl w:ilvl="6" w:tplc="040C0001" w:tentative="1">
      <w:start w:val="1"/>
      <w:numFmt w:val="bullet"/>
      <w:lvlText w:val=""/>
      <w:lvlJc w:val="left"/>
      <w:pPr>
        <w:tabs>
          <w:tab w:val="num" w:pos="6741"/>
        </w:tabs>
        <w:ind w:left="6741" w:hanging="360"/>
      </w:pPr>
      <w:rPr>
        <w:rFonts w:ascii="Symbol" w:hAnsi="Symbol" w:hint="default"/>
      </w:rPr>
    </w:lvl>
    <w:lvl w:ilvl="7" w:tplc="040C0003" w:tentative="1">
      <w:start w:val="1"/>
      <w:numFmt w:val="bullet"/>
      <w:lvlText w:val="o"/>
      <w:lvlJc w:val="left"/>
      <w:pPr>
        <w:tabs>
          <w:tab w:val="num" w:pos="7461"/>
        </w:tabs>
        <w:ind w:left="7461" w:hanging="360"/>
      </w:pPr>
      <w:rPr>
        <w:rFonts w:ascii="Courier New" w:hAnsi="Courier New" w:hint="default"/>
      </w:rPr>
    </w:lvl>
    <w:lvl w:ilvl="8" w:tplc="040C0005" w:tentative="1">
      <w:start w:val="1"/>
      <w:numFmt w:val="bullet"/>
      <w:lvlText w:val=""/>
      <w:lvlJc w:val="left"/>
      <w:pPr>
        <w:tabs>
          <w:tab w:val="num" w:pos="8181"/>
        </w:tabs>
        <w:ind w:left="8181" w:hanging="360"/>
      </w:pPr>
      <w:rPr>
        <w:rFonts w:ascii="Wingdings" w:hAnsi="Wingdings" w:hint="default"/>
      </w:rPr>
    </w:lvl>
  </w:abstractNum>
  <w:abstractNum w:abstractNumId="17" w15:restartNumberingAfterBreak="0">
    <w:nsid w:val="695106FB"/>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BD73A9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7CF349BD"/>
    <w:multiLevelType w:val="singleLevel"/>
    <w:tmpl w:val="51D4BF5A"/>
    <w:lvl w:ilvl="0">
      <w:start w:val="1"/>
      <w:numFmt w:val="lowerRoman"/>
      <w:lvlText w:val="(%1)"/>
      <w:lvlJc w:val="right"/>
      <w:pPr>
        <w:tabs>
          <w:tab w:val="num" w:pos="1440"/>
        </w:tabs>
        <w:ind w:left="1440" w:hanging="589"/>
      </w:pPr>
      <w:rPr>
        <w:rFonts w:hint="default"/>
      </w:rPr>
    </w:lvl>
  </w:abstractNum>
  <w:num w:numId="1" w16cid:durableId="505633971">
    <w:abstractNumId w:val="19"/>
  </w:num>
  <w:num w:numId="2" w16cid:durableId="2108848750">
    <w:abstractNumId w:val="12"/>
  </w:num>
  <w:num w:numId="3" w16cid:durableId="1010569271">
    <w:abstractNumId w:val="1"/>
  </w:num>
  <w:num w:numId="4" w16cid:durableId="713583862">
    <w:abstractNumId w:val="0"/>
  </w:num>
  <w:num w:numId="5" w16cid:durableId="1452941147">
    <w:abstractNumId w:val="2"/>
  </w:num>
  <w:num w:numId="6" w16cid:durableId="1709454457">
    <w:abstractNumId w:val="3"/>
  </w:num>
  <w:num w:numId="7" w16cid:durableId="1539731984">
    <w:abstractNumId w:val="8"/>
  </w:num>
  <w:num w:numId="8" w16cid:durableId="1483346482">
    <w:abstractNumId w:val="9"/>
  </w:num>
  <w:num w:numId="9" w16cid:durableId="364252661">
    <w:abstractNumId w:val="7"/>
  </w:num>
  <w:num w:numId="10" w16cid:durableId="928731346">
    <w:abstractNumId w:val="6"/>
  </w:num>
  <w:num w:numId="11" w16cid:durableId="195435520">
    <w:abstractNumId w:val="5"/>
  </w:num>
  <w:num w:numId="12" w16cid:durableId="276374315">
    <w:abstractNumId w:val="4"/>
  </w:num>
  <w:num w:numId="13" w16cid:durableId="1912885634">
    <w:abstractNumId w:val="13"/>
  </w:num>
  <w:num w:numId="14" w16cid:durableId="1511329326">
    <w:abstractNumId w:val="18"/>
  </w:num>
  <w:num w:numId="15" w16cid:durableId="443697862">
    <w:abstractNumId w:val="17"/>
  </w:num>
  <w:num w:numId="16" w16cid:durableId="1276403942">
    <w:abstractNumId w:val="16"/>
  </w:num>
  <w:num w:numId="17" w16cid:durableId="320819204">
    <w:abstractNumId w:val="14"/>
  </w:num>
  <w:num w:numId="18" w16cid:durableId="2087260468">
    <w:abstractNumId w:val="16"/>
  </w:num>
  <w:num w:numId="19" w16cid:durableId="758062578">
    <w:abstractNumId w:val="14"/>
  </w:num>
  <w:num w:numId="20" w16cid:durableId="3486007">
    <w:abstractNumId w:val="16"/>
  </w:num>
  <w:num w:numId="21" w16cid:durableId="1288779376">
    <w:abstractNumId w:val="14"/>
  </w:num>
  <w:num w:numId="22" w16cid:durableId="552153675">
    <w:abstractNumId w:val="10"/>
  </w:num>
  <w:num w:numId="23" w16cid:durableId="419184680">
    <w:abstractNumId w:val="15"/>
  </w:num>
  <w:num w:numId="24" w16cid:durableId="327949410">
    <w:abstractNumId w:val="1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5" w:nlCheck="1" w:checkStyle="1"/>
  <w:activeWritingStyle w:appName="MSWord" w:lang="fr-CH" w:vendorID="64" w:dllVersion="6" w:nlCheck="1" w:checkStyle="0"/>
  <w:activeWritingStyle w:appName="MSWord" w:lang="en-GB" w:vendorID="64" w:dllVersion="6" w:nlCheck="1" w:checkStyle="1"/>
  <w:activeWritingStyle w:appName="MSWord" w:lang="fr-FR" w:vendorID="64" w:dllVersion="6" w:nlCheck="1" w:checkStyle="0"/>
  <w:activeWritingStyle w:appName="MSWord" w:lang="fr-CH" w:vendorID="64" w:dllVersion="0" w:nlCheck="1" w:checkStyle="0"/>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C41"/>
    <w:rsid w:val="00002E9D"/>
    <w:rsid w:val="000149B6"/>
    <w:rsid w:val="00016AC5"/>
    <w:rsid w:val="00020C56"/>
    <w:rsid w:val="00025771"/>
    <w:rsid w:val="0003055E"/>
    <w:rsid w:val="00041330"/>
    <w:rsid w:val="00056AEA"/>
    <w:rsid w:val="00057BC0"/>
    <w:rsid w:val="00067210"/>
    <w:rsid w:val="0008047D"/>
    <w:rsid w:val="0008167F"/>
    <w:rsid w:val="00087241"/>
    <w:rsid w:val="00094643"/>
    <w:rsid w:val="000A02E3"/>
    <w:rsid w:val="000A3044"/>
    <w:rsid w:val="000D1B56"/>
    <w:rsid w:val="000D5778"/>
    <w:rsid w:val="000D7C9C"/>
    <w:rsid w:val="000E03D2"/>
    <w:rsid w:val="000E73D2"/>
    <w:rsid w:val="000F41F2"/>
    <w:rsid w:val="001052B9"/>
    <w:rsid w:val="0011219D"/>
    <w:rsid w:val="00116006"/>
    <w:rsid w:val="00130C41"/>
    <w:rsid w:val="00133B7A"/>
    <w:rsid w:val="001370FA"/>
    <w:rsid w:val="001416F3"/>
    <w:rsid w:val="001459FB"/>
    <w:rsid w:val="00153B2E"/>
    <w:rsid w:val="00160540"/>
    <w:rsid w:val="00170BBF"/>
    <w:rsid w:val="00172B99"/>
    <w:rsid w:val="0017656D"/>
    <w:rsid w:val="00182746"/>
    <w:rsid w:val="00186254"/>
    <w:rsid w:val="00192EEB"/>
    <w:rsid w:val="001A20FB"/>
    <w:rsid w:val="001B3B64"/>
    <w:rsid w:val="001C6647"/>
    <w:rsid w:val="001E3FEB"/>
    <w:rsid w:val="001E4A02"/>
    <w:rsid w:val="001E7813"/>
    <w:rsid w:val="00256C32"/>
    <w:rsid w:val="002659F1"/>
    <w:rsid w:val="00265E21"/>
    <w:rsid w:val="00270CAD"/>
    <w:rsid w:val="002742D2"/>
    <w:rsid w:val="00287E79"/>
    <w:rsid w:val="002928F9"/>
    <w:rsid w:val="002A5D07"/>
    <w:rsid w:val="002D1EE1"/>
    <w:rsid w:val="003016B7"/>
    <w:rsid w:val="00302B7C"/>
    <w:rsid w:val="003515AA"/>
    <w:rsid w:val="00360C90"/>
    <w:rsid w:val="00374106"/>
    <w:rsid w:val="0037542E"/>
    <w:rsid w:val="00376D3D"/>
    <w:rsid w:val="0037787B"/>
    <w:rsid w:val="003800E1"/>
    <w:rsid w:val="003976D5"/>
    <w:rsid w:val="00397833"/>
    <w:rsid w:val="003B1A7D"/>
    <w:rsid w:val="003C398A"/>
    <w:rsid w:val="003D193B"/>
    <w:rsid w:val="003D5D72"/>
    <w:rsid w:val="003D6C68"/>
    <w:rsid w:val="003E16F7"/>
    <w:rsid w:val="003E4FE2"/>
    <w:rsid w:val="003E6ACD"/>
    <w:rsid w:val="004159D0"/>
    <w:rsid w:val="00420648"/>
    <w:rsid w:val="00443559"/>
    <w:rsid w:val="00446084"/>
    <w:rsid w:val="00453816"/>
    <w:rsid w:val="004549E5"/>
    <w:rsid w:val="00476F57"/>
    <w:rsid w:val="00481744"/>
    <w:rsid w:val="00482630"/>
    <w:rsid w:val="00486A9E"/>
    <w:rsid w:val="00492B07"/>
    <w:rsid w:val="004A11DC"/>
    <w:rsid w:val="004A5A92"/>
    <w:rsid w:val="004B2F4D"/>
    <w:rsid w:val="004E0ED4"/>
    <w:rsid w:val="004F4EEE"/>
    <w:rsid w:val="00506892"/>
    <w:rsid w:val="00515E4C"/>
    <w:rsid w:val="00534D40"/>
    <w:rsid w:val="00536F97"/>
    <w:rsid w:val="00571F41"/>
    <w:rsid w:val="00585184"/>
    <w:rsid w:val="00594033"/>
    <w:rsid w:val="005A3D32"/>
    <w:rsid w:val="005A4730"/>
    <w:rsid w:val="005B4C26"/>
    <w:rsid w:val="005B5E80"/>
    <w:rsid w:val="005D64DA"/>
    <w:rsid w:val="005E5D1F"/>
    <w:rsid w:val="005F3C2D"/>
    <w:rsid w:val="005F7572"/>
    <w:rsid w:val="00607CB5"/>
    <w:rsid w:val="00612D48"/>
    <w:rsid w:val="00615957"/>
    <w:rsid w:val="00616B45"/>
    <w:rsid w:val="006402CD"/>
    <w:rsid w:val="006439EC"/>
    <w:rsid w:val="00646EA9"/>
    <w:rsid w:val="0066166E"/>
    <w:rsid w:val="006717FE"/>
    <w:rsid w:val="006739B9"/>
    <w:rsid w:val="0068010A"/>
    <w:rsid w:val="00685838"/>
    <w:rsid w:val="006A0A19"/>
    <w:rsid w:val="006A4BB1"/>
    <w:rsid w:val="006B4590"/>
    <w:rsid w:val="006C340C"/>
    <w:rsid w:val="006D4163"/>
    <w:rsid w:val="006E02ED"/>
    <w:rsid w:val="006E0B3E"/>
    <w:rsid w:val="006E11ED"/>
    <w:rsid w:val="006E4DC7"/>
    <w:rsid w:val="00702EEB"/>
    <w:rsid w:val="0070347C"/>
    <w:rsid w:val="0070483E"/>
    <w:rsid w:val="00704FA1"/>
    <w:rsid w:val="00717F88"/>
    <w:rsid w:val="007245EE"/>
    <w:rsid w:val="00732225"/>
    <w:rsid w:val="00757464"/>
    <w:rsid w:val="00757B26"/>
    <w:rsid w:val="007602DF"/>
    <w:rsid w:val="00794671"/>
    <w:rsid w:val="0079641B"/>
    <w:rsid w:val="007B4AD1"/>
    <w:rsid w:val="007C4C4D"/>
    <w:rsid w:val="007D0D34"/>
    <w:rsid w:val="007D30F7"/>
    <w:rsid w:val="007D4BF4"/>
    <w:rsid w:val="007F0FFB"/>
    <w:rsid w:val="007F3566"/>
    <w:rsid w:val="0081037A"/>
    <w:rsid w:val="0081197C"/>
    <w:rsid w:val="00826A4A"/>
    <w:rsid w:val="008310FF"/>
    <w:rsid w:val="00844750"/>
    <w:rsid w:val="0086044E"/>
    <w:rsid w:val="008757D4"/>
    <w:rsid w:val="0088312E"/>
    <w:rsid w:val="008921DD"/>
    <w:rsid w:val="0089595B"/>
    <w:rsid w:val="008A3DA5"/>
    <w:rsid w:val="008B4356"/>
    <w:rsid w:val="008D02FB"/>
    <w:rsid w:val="008D0FF4"/>
    <w:rsid w:val="008D6059"/>
    <w:rsid w:val="008E4CA6"/>
    <w:rsid w:val="008E7FAE"/>
    <w:rsid w:val="00911BF7"/>
    <w:rsid w:val="009277CF"/>
    <w:rsid w:val="009303AE"/>
    <w:rsid w:val="00933F70"/>
    <w:rsid w:val="0093455A"/>
    <w:rsid w:val="0096714A"/>
    <w:rsid w:val="00967D3D"/>
    <w:rsid w:val="00977EC8"/>
    <w:rsid w:val="009B6FA2"/>
    <w:rsid w:val="009C030D"/>
    <w:rsid w:val="009D3A8C"/>
    <w:rsid w:val="009E7956"/>
    <w:rsid w:val="00A0097E"/>
    <w:rsid w:val="00A16E15"/>
    <w:rsid w:val="00A202E9"/>
    <w:rsid w:val="00A2492E"/>
    <w:rsid w:val="00A41FCA"/>
    <w:rsid w:val="00A43FBF"/>
    <w:rsid w:val="00A63BBD"/>
    <w:rsid w:val="00A760D3"/>
    <w:rsid w:val="00A8374C"/>
    <w:rsid w:val="00A954DF"/>
    <w:rsid w:val="00A96378"/>
    <w:rsid w:val="00AA2934"/>
    <w:rsid w:val="00AC47AD"/>
    <w:rsid w:val="00AC7977"/>
    <w:rsid w:val="00AD7860"/>
    <w:rsid w:val="00AE2AF8"/>
    <w:rsid w:val="00AE352C"/>
    <w:rsid w:val="00AE5C9A"/>
    <w:rsid w:val="00AE6769"/>
    <w:rsid w:val="00AF12B1"/>
    <w:rsid w:val="00B01385"/>
    <w:rsid w:val="00B07BA9"/>
    <w:rsid w:val="00B10761"/>
    <w:rsid w:val="00B202BD"/>
    <w:rsid w:val="00B25B94"/>
    <w:rsid w:val="00B2618B"/>
    <w:rsid w:val="00B305EC"/>
    <w:rsid w:val="00B32AA5"/>
    <w:rsid w:val="00B32E2D"/>
    <w:rsid w:val="00B61990"/>
    <w:rsid w:val="00B85BE8"/>
    <w:rsid w:val="00B9642C"/>
    <w:rsid w:val="00BA6649"/>
    <w:rsid w:val="00BB2C7F"/>
    <w:rsid w:val="00BB46F6"/>
    <w:rsid w:val="00BD12F6"/>
    <w:rsid w:val="00BE28D3"/>
    <w:rsid w:val="00BE4710"/>
    <w:rsid w:val="00BF0556"/>
    <w:rsid w:val="00C11BE5"/>
    <w:rsid w:val="00C12A31"/>
    <w:rsid w:val="00C16685"/>
    <w:rsid w:val="00C17E29"/>
    <w:rsid w:val="00C261F8"/>
    <w:rsid w:val="00C278ED"/>
    <w:rsid w:val="00C36FBB"/>
    <w:rsid w:val="00C440C7"/>
    <w:rsid w:val="00C641D9"/>
    <w:rsid w:val="00C66FBB"/>
    <w:rsid w:val="00C717E0"/>
    <w:rsid w:val="00C9629B"/>
    <w:rsid w:val="00CB0B80"/>
    <w:rsid w:val="00CC7117"/>
    <w:rsid w:val="00CD1A71"/>
    <w:rsid w:val="00CD1FBB"/>
    <w:rsid w:val="00CE09C9"/>
    <w:rsid w:val="00CE2A9C"/>
    <w:rsid w:val="00CE5AFE"/>
    <w:rsid w:val="00CE78A7"/>
    <w:rsid w:val="00CF7BF0"/>
    <w:rsid w:val="00D016B5"/>
    <w:rsid w:val="00D034F1"/>
    <w:rsid w:val="00D05294"/>
    <w:rsid w:val="00D06237"/>
    <w:rsid w:val="00D117E9"/>
    <w:rsid w:val="00D27D5E"/>
    <w:rsid w:val="00D42E42"/>
    <w:rsid w:val="00D53DFD"/>
    <w:rsid w:val="00D64D47"/>
    <w:rsid w:val="00D658DE"/>
    <w:rsid w:val="00D72E7E"/>
    <w:rsid w:val="00D92A9A"/>
    <w:rsid w:val="00DB680D"/>
    <w:rsid w:val="00DD06C8"/>
    <w:rsid w:val="00DD3C3C"/>
    <w:rsid w:val="00DE2AF1"/>
    <w:rsid w:val="00DE6D90"/>
    <w:rsid w:val="00DF002F"/>
    <w:rsid w:val="00E0244D"/>
    <w:rsid w:val="00E2625B"/>
    <w:rsid w:val="00E267BD"/>
    <w:rsid w:val="00E279B7"/>
    <w:rsid w:val="00E40CE5"/>
    <w:rsid w:val="00E5332C"/>
    <w:rsid w:val="00E53A1D"/>
    <w:rsid w:val="00E676E7"/>
    <w:rsid w:val="00E717FF"/>
    <w:rsid w:val="00E80B05"/>
    <w:rsid w:val="00E81E94"/>
    <w:rsid w:val="00E82607"/>
    <w:rsid w:val="00E94779"/>
    <w:rsid w:val="00E9500E"/>
    <w:rsid w:val="00EA6EB4"/>
    <w:rsid w:val="00EB055F"/>
    <w:rsid w:val="00EC2297"/>
    <w:rsid w:val="00ED2858"/>
    <w:rsid w:val="00ED6DA2"/>
    <w:rsid w:val="00F22103"/>
    <w:rsid w:val="00F349D4"/>
    <w:rsid w:val="00F42631"/>
    <w:rsid w:val="00F46F64"/>
    <w:rsid w:val="00F6089D"/>
    <w:rsid w:val="00F72951"/>
    <w:rsid w:val="00F7781B"/>
    <w:rsid w:val="00F82B9D"/>
    <w:rsid w:val="00F85700"/>
    <w:rsid w:val="00FA5A79"/>
    <w:rsid w:val="00FA7172"/>
    <w:rsid w:val="00FB0BFE"/>
    <w:rsid w:val="00FB4C51"/>
    <w:rsid w:val="00FE1832"/>
    <w:rsid w:val="00FF07B1"/>
    <w:rsid w:val="00FF1DBD"/>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82C8479"/>
  <w15:docId w15:val="{8863072A-EDAC-497F-93CC-10293F8E4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4671"/>
    <w:pPr>
      <w:suppressAutoHyphens/>
      <w:spacing w:line="240" w:lineRule="atLeast"/>
    </w:pPr>
    <w:rPr>
      <w:lang w:val="fr-CH" w:eastAsia="en-US"/>
    </w:rPr>
  </w:style>
  <w:style w:type="paragraph" w:styleId="Heading1">
    <w:name w:val="heading 1"/>
    <w:aliases w:val="Table_G"/>
    <w:basedOn w:val="SingleTxtG"/>
    <w:next w:val="SingleTxtG"/>
    <w:qFormat/>
    <w:rsid w:val="0008167F"/>
    <w:pPr>
      <w:spacing w:after="0" w:line="240" w:lineRule="auto"/>
      <w:ind w:right="0"/>
      <w:jc w:val="left"/>
      <w:outlineLvl w:val="0"/>
    </w:pPr>
  </w:style>
  <w:style w:type="paragraph" w:styleId="Heading2">
    <w:name w:val="heading 2"/>
    <w:basedOn w:val="Normal"/>
    <w:next w:val="Normal"/>
    <w:semiHidden/>
    <w:qFormat/>
    <w:rsid w:val="0008167F"/>
    <w:pPr>
      <w:spacing w:line="240" w:lineRule="auto"/>
      <w:outlineLvl w:val="1"/>
    </w:pPr>
    <w:rPr>
      <w:lang w:val="en-GB"/>
    </w:rPr>
  </w:style>
  <w:style w:type="paragraph" w:styleId="Heading3">
    <w:name w:val="heading 3"/>
    <w:basedOn w:val="Normal"/>
    <w:next w:val="Normal"/>
    <w:semiHidden/>
    <w:qFormat/>
    <w:rsid w:val="0008167F"/>
    <w:pPr>
      <w:spacing w:line="240" w:lineRule="auto"/>
      <w:outlineLvl w:val="2"/>
    </w:pPr>
    <w:rPr>
      <w:lang w:val="en-GB"/>
    </w:rPr>
  </w:style>
  <w:style w:type="paragraph" w:styleId="Heading4">
    <w:name w:val="heading 4"/>
    <w:basedOn w:val="Normal"/>
    <w:next w:val="Normal"/>
    <w:semiHidden/>
    <w:qFormat/>
    <w:rsid w:val="0008167F"/>
    <w:pPr>
      <w:spacing w:line="240" w:lineRule="auto"/>
      <w:outlineLvl w:val="3"/>
    </w:pPr>
    <w:rPr>
      <w:lang w:val="en-GB"/>
    </w:rPr>
  </w:style>
  <w:style w:type="paragraph" w:styleId="Heading5">
    <w:name w:val="heading 5"/>
    <w:basedOn w:val="Normal"/>
    <w:next w:val="Normal"/>
    <w:semiHidden/>
    <w:qFormat/>
    <w:rsid w:val="0008167F"/>
    <w:pPr>
      <w:spacing w:line="240" w:lineRule="auto"/>
      <w:outlineLvl w:val="4"/>
    </w:pPr>
    <w:rPr>
      <w:lang w:val="en-GB"/>
    </w:rPr>
  </w:style>
  <w:style w:type="paragraph" w:styleId="Heading6">
    <w:name w:val="heading 6"/>
    <w:basedOn w:val="Normal"/>
    <w:next w:val="Normal"/>
    <w:semiHidden/>
    <w:qFormat/>
    <w:rsid w:val="0008167F"/>
    <w:pPr>
      <w:spacing w:line="240" w:lineRule="auto"/>
      <w:outlineLvl w:val="5"/>
    </w:pPr>
    <w:rPr>
      <w:lang w:val="en-GB"/>
    </w:rPr>
  </w:style>
  <w:style w:type="paragraph" w:styleId="Heading7">
    <w:name w:val="heading 7"/>
    <w:basedOn w:val="Normal"/>
    <w:next w:val="Normal"/>
    <w:semiHidden/>
    <w:qFormat/>
    <w:rsid w:val="0008167F"/>
    <w:pPr>
      <w:spacing w:line="240" w:lineRule="auto"/>
      <w:outlineLvl w:val="6"/>
    </w:pPr>
    <w:rPr>
      <w:lang w:val="en-GB"/>
    </w:rPr>
  </w:style>
  <w:style w:type="paragraph" w:styleId="Heading8">
    <w:name w:val="heading 8"/>
    <w:basedOn w:val="Normal"/>
    <w:next w:val="Normal"/>
    <w:semiHidden/>
    <w:qFormat/>
    <w:rsid w:val="0008167F"/>
    <w:pPr>
      <w:spacing w:line="240" w:lineRule="auto"/>
      <w:outlineLvl w:val="7"/>
    </w:pPr>
    <w:rPr>
      <w:lang w:val="en-GB"/>
    </w:rPr>
  </w:style>
  <w:style w:type="paragraph" w:styleId="Heading9">
    <w:name w:val="heading 9"/>
    <w:basedOn w:val="Normal"/>
    <w:next w:val="Normal"/>
    <w:semiHidden/>
    <w:qFormat/>
    <w:rsid w:val="0008167F"/>
    <w:pPr>
      <w:spacing w:line="240" w:lineRule="auto"/>
      <w:outlineLvl w:val="8"/>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MG">
    <w:name w:val="_ H __M_G"/>
    <w:basedOn w:val="Normal"/>
    <w:next w:val="Normal"/>
    <w:qFormat/>
    <w:rsid w:val="00794671"/>
    <w:pPr>
      <w:keepNext/>
      <w:keepLines/>
      <w:tabs>
        <w:tab w:val="right" w:pos="851"/>
      </w:tabs>
      <w:spacing w:before="240" w:after="240" w:line="360" w:lineRule="exact"/>
      <w:ind w:left="1134" w:right="1134" w:hanging="1134"/>
      <w:outlineLvl w:val="0"/>
    </w:pPr>
    <w:rPr>
      <w:b/>
      <w:sz w:val="34"/>
    </w:rPr>
  </w:style>
  <w:style w:type="paragraph" w:customStyle="1" w:styleId="HChG">
    <w:name w:val="_ H _Ch_G"/>
    <w:basedOn w:val="Normal"/>
    <w:next w:val="Normal"/>
    <w:qFormat/>
    <w:rsid w:val="00794671"/>
    <w:pPr>
      <w:keepNext/>
      <w:keepLines/>
      <w:tabs>
        <w:tab w:val="right" w:pos="851"/>
      </w:tabs>
      <w:spacing w:before="360" w:after="240" w:line="300" w:lineRule="exact"/>
      <w:ind w:left="1134" w:right="1134" w:hanging="1134"/>
      <w:outlineLvl w:val="1"/>
    </w:pPr>
    <w:rPr>
      <w:b/>
      <w:sz w:val="28"/>
    </w:rPr>
  </w:style>
  <w:style w:type="paragraph" w:customStyle="1" w:styleId="H1G">
    <w:name w:val="_ H_1_G"/>
    <w:basedOn w:val="Normal"/>
    <w:next w:val="Normal"/>
    <w:qFormat/>
    <w:rsid w:val="0008167F"/>
    <w:pPr>
      <w:keepNext/>
      <w:keepLines/>
      <w:tabs>
        <w:tab w:val="right" w:pos="851"/>
      </w:tabs>
      <w:spacing w:before="360" w:after="240" w:line="270" w:lineRule="exact"/>
      <w:ind w:left="1134" w:right="1134" w:hanging="1134"/>
      <w:outlineLvl w:val="2"/>
    </w:pPr>
    <w:rPr>
      <w:b/>
      <w:sz w:val="24"/>
      <w:lang w:val="en-GB"/>
    </w:rPr>
  </w:style>
  <w:style w:type="paragraph" w:customStyle="1" w:styleId="H23G">
    <w:name w:val="_ H_2/3_G"/>
    <w:basedOn w:val="Normal"/>
    <w:next w:val="Normal"/>
    <w:qFormat/>
    <w:rsid w:val="00794671"/>
    <w:pPr>
      <w:keepNext/>
      <w:keepLines/>
      <w:tabs>
        <w:tab w:val="right" w:pos="851"/>
      </w:tabs>
      <w:spacing w:before="240" w:after="120" w:line="240" w:lineRule="exact"/>
      <w:ind w:left="1134" w:right="1134" w:hanging="1134"/>
      <w:outlineLvl w:val="3"/>
    </w:pPr>
    <w:rPr>
      <w:b/>
    </w:rPr>
  </w:style>
  <w:style w:type="paragraph" w:customStyle="1" w:styleId="H4G">
    <w:name w:val="_ H_4_G"/>
    <w:basedOn w:val="Normal"/>
    <w:next w:val="Normal"/>
    <w:qFormat/>
    <w:rsid w:val="00794671"/>
    <w:pPr>
      <w:keepNext/>
      <w:keepLines/>
      <w:tabs>
        <w:tab w:val="right" w:pos="851"/>
      </w:tabs>
      <w:spacing w:before="240" w:after="120" w:line="240" w:lineRule="exact"/>
      <w:ind w:left="1134" w:right="1134" w:hanging="1134"/>
      <w:outlineLvl w:val="4"/>
    </w:pPr>
    <w:rPr>
      <w:i/>
    </w:rPr>
  </w:style>
  <w:style w:type="paragraph" w:customStyle="1" w:styleId="H56G">
    <w:name w:val="_ H_5/6_G"/>
    <w:basedOn w:val="Normal"/>
    <w:next w:val="Normal"/>
    <w:qFormat/>
    <w:rsid w:val="00794671"/>
    <w:pPr>
      <w:keepNext/>
      <w:keepLines/>
      <w:tabs>
        <w:tab w:val="right" w:pos="851"/>
      </w:tabs>
      <w:spacing w:before="240" w:after="120" w:line="240" w:lineRule="exact"/>
      <w:ind w:left="1134" w:right="1134" w:hanging="1134"/>
      <w:outlineLvl w:val="5"/>
    </w:pPr>
  </w:style>
  <w:style w:type="paragraph" w:customStyle="1" w:styleId="SingleTxtG">
    <w:name w:val="_ Single Txt_G"/>
    <w:basedOn w:val="Normal"/>
    <w:qFormat/>
    <w:rsid w:val="00794671"/>
    <w:pPr>
      <w:tabs>
        <w:tab w:val="left" w:pos="1701"/>
        <w:tab w:val="left" w:pos="2268"/>
        <w:tab w:val="left" w:pos="2835"/>
      </w:tabs>
      <w:spacing w:after="120"/>
      <w:ind w:left="1134" w:right="1134"/>
      <w:jc w:val="both"/>
    </w:pPr>
  </w:style>
  <w:style w:type="paragraph" w:customStyle="1" w:styleId="SLG">
    <w:name w:val="__S_L_G"/>
    <w:basedOn w:val="Normal"/>
    <w:next w:val="Normal"/>
    <w:rsid w:val="00794671"/>
    <w:pPr>
      <w:keepNext/>
      <w:keepLines/>
      <w:spacing w:before="240" w:after="240" w:line="580" w:lineRule="exact"/>
      <w:ind w:left="1134" w:right="1134"/>
    </w:pPr>
    <w:rPr>
      <w:b/>
      <w:sz w:val="56"/>
    </w:rPr>
  </w:style>
  <w:style w:type="paragraph" w:customStyle="1" w:styleId="SMG">
    <w:name w:val="__S_M_G"/>
    <w:basedOn w:val="Normal"/>
    <w:next w:val="Normal"/>
    <w:rsid w:val="00794671"/>
    <w:pPr>
      <w:keepNext/>
      <w:keepLines/>
      <w:spacing w:before="240" w:after="240" w:line="420" w:lineRule="exact"/>
      <w:ind w:left="1134" w:right="1134"/>
    </w:pPr>
    <w:rPr>
      <w:b/>
      <w:sz w:val="40"/>
    </w:rPr>
  </w:style>
  <w:style w:type="paragraph" w:customStyle="1" w:styleId="SSG">
    <w:name w:val="__S_S_G"/>
    <w:basedOn w:val="Normal"/>
    <w:next w:val="Normal"/>
    <w:rsid w:val="00794671"/>
    <w:pPr>
      <w:keepNext/>
      <w:keepLines/>
      <w:spacing w:before="240" w:after="240" w:line="300" w:lineRule="exact"/>
      <w:ind w:left="1134" w:right="1134"/>
    </w:pPr>
    <w:rPr>
      <w:b/>
      <w:sz w:val="28"/>
    </w:rPr>
  </w:style>
  <w:style w:type="paragraph" w:customStyle="1" w:styleId="XLargeG">
    <w:name w:val="__XLarge_G"/>
    <w:basedOn w:val="Normal"/>
    <w:next w:val="Normal"/>
    <w:rsid w:val="00794671"/>
    <w:pPr>
      <w:keepNext/>
      <w:keepLines/>
      <w:spacing w:before="240" w:after="240" w:line="420" w:lineRule="exact"/>
      <w:ind w:left="1134" w:right="1134"/>
    </w:pPr>
    <w:rPr>
      <w:b/>
      <w:sz w:val="40"/>
    </w:rPr>
  </w:style>
  <w:style w:type="paragraph" w:customStyle="1" w:styleId="Bullet1G">
    <w:name w:val="_Bullet 1_G"/>
    <w:basedOn w:val="Normal"/>
    <w:qFormat/>
    <w:rsid w:val="00794671"/>
    <w:pPr>
      <w:numPr>
        <w:numId w:val="22"/>
      </w:numPr>
      <w:spacing w:after="120"/>
      <w:ind w:right="1134"/>
      <w:jc w:val="both"/>
    </w:pPr>
  </w:style>
  <w:style w:type="paragraph" w:customStyle="1" w:styleId="Bullet2G">
    <w:name w:val="_Bullet 2_G"/>
    <w:basedOn w:val="Normal"/>
    <w:qFormat/>
    <w:rsid w:val="00794671"/>
    <w:pPr>
      <w:numPr>
        <w:numId w:val="23"/>
      </w:numPr>
      <w:spacing w:after="120"/>
      <w:ind w:right="1134"/>
      <w:jc w:val="both"/>
    </w:pPr>
  </w:style>
  <w:style w:type="character" w:styleId="FootnoteReference">
    <w:name w:val="footnote reference"/>
    <w:aliases w:val="4_G"/>
    <w:qFormat/>
    <w:rsid w:val="0008167F"/>
    <w:rPr>
      <w:rFonts w:ascii="Times New Roman" w:hAnsi="Times New Roman"/>
      <w:sz w:val="18"/>
      <w:vertAlign w:val="superscript"/>
    </w:rPr>
  </w:style>
  <w:style w:type="character" w:styleId="EndnoteReference">
    <w:name w:val="endnote reference"/>
    <w:aliases w:val="1_G"/>
    <w:qFormat/>
    <w:rsid w:val="00794671"/>
    <w:rPr>
      <w:rFonts w:ascii="Times New Roman" w:hAnsi="Times New Roman"/>
      <w:sz w:val="18"/>
      <w:vertAlign w:val="superscript"/>
      <w:lang w:val="fr-CH"/>
    </w:rPr>
  </w:style>
  <w:style w:type="paragraph" w:styleId="Header">
    <w:name w:val="header"/>
    <w:aliases w:val="6_G"/>
    <w:basedOn w:val="Normal"/>
    <w:rsid w:val="0008167F"/>
    <w:pPr>
      <w:pBdr>
        <w:bottom w:val="single" w:sz="4" w:space="4" w:color="auto"/>
      </w:pBdr>
      <w:spacing w:line="240" w:lineRule="auto"/>
    </w:pPr>
    <w:rPr>
      <w:b/>
      <w:sz w:val="18"/>
      <w:lang w:val="en-GB"/>
    </w:rPr>
  </w:style>
  <w:style w:type="paragraph" w:styleId="FootnoteText">
    <w:name w:val="footnote text"/>
    <w:aliases w:val="5_G"/>
    <w:basedOn w:val="Normal"/>
    <w:qFormat/>
    <w:rsid w:val="0008167F"/>
    <w:pPr>
      <w:tabs>
        <w:tab w:val="right" w:pos="1021"/>
      </w:tabs>
      <w:spacing w:line="220" w:lineRule="exact"/>
      <w:ind w:left="1134" w:right="1134" w:hanging="1134"/>
    </w:pPr>
    <w:rPr>
      <w:sz w:val="18"/>
      <w:lang w:val="en-GB"/>
    </w:rPr>
  </w:style>
  <w:style w:type="paragraph" w:styleId="EndnoteText">
    <w:name w:val="endnote text"/>
    <w:aliases w:val="2_G"/>
    <w:basedOn w:val="FootnoteText"/>
    <w:qFormat/>
    <w:rsid w:val="0008167F"/>
  </w:style>
  <w:style w:type="character" w:styleId="PageNumber">
    <w:name w:val="page number"/>
    <w:aliases w:val="7_G"/>
    <w:qFormat/>
    <w:rsid w:val="0008167F"/>
    <w:rPr>
      <w:rFonts w:ascii="Times New Roman" w:hAnsi="Times New Roman"/>
      <w:b/>
      <w:sz w:val="18"/>
    </w:rPr>
  </w:style>
  <w:style w:type="paragraph" w:styleId="Footer">
    <w:name w:val="footer"/>
    <w:aliases w:val="3_G"/>
    <w:basedOn w:val="Normal"/>
    <w:qFormat/>
    <w:rsid w:val="0008167F"/>
    <w:pPr>
      <w:spacing w:line="240" w:lineRule="auto"/>
    </w:pPr>
    <w:rPr>
      <w:sz w:val="16"/>
      <w:lang w:val="en-GB"/>
    </w:rPr>
  </w:style>
  <w:style w:type="character" w:styleId="Hyperlink">
    <w:name w:val="Hyperlink"/>
    <w:semiHidden/>
    <w:rsid w:val="0008167F"/>
    <w:rPr>
      <w:color w:val="auto"/>
      <w:u w:val="none"/>
    </w:rPr>
  </w:style>
  <w:style w:type="character" w:styleId="FollowedHyperlink">
    <w:name w:val="FollowedHyperlink"/>
    <w:semiHidden/>
    <w:rsid w:val="0008167F"/>
    <w:rPr>
      <w:color w:val="auto"/>
      <w:u w:val="none"/>
    </w:rPr>
  </w:style>
  <w:style w:type="table" w:styleId="TableGrid">
    <w:name w:val="Table Grid"/>
    <w:basedOn w:val="TableNormal"/>
    <w:semiHidden/>
    <w:rsid w:val="0008167F"/>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BalloonText">
    <w:name w:val="Balloon Text"/>
    <w:basedOn w:val="Normal"/>
    <w:link w:val="BalloonTextChar"/>
    <w:semiHidden/>
    <w:rsid w:val="006717FE"/>
    <w:pPr>
      <w:spacing w:line="240" w:lineRule="auto"/>
    </w:pPr>
    <w:rPr>
      <w:rFonts w:ascii="Tahoma" w:hAnsi="Tahoma" w:cs="Tahoma"/>
      <w:sz w:val="16"/>
      <w:szCs w:val="16"/>
    </w:rPr>
  </w:style>
  <w:style w:type="character" w:customStyle="1" w:styleId="BalloonTextChar">
    <w:name w:val="Balloon Text Char"/>
    <w:link w:val="BalloonText"/>
    <w:semiHidden/>
    <w:rsid w:val="006717FE"/>
    <w:rPr>
      <w:rFonts w:ascii="Tahoma" w:hAnsi="Tahoma" w:cs="Tahoma"/>
      <w:sz w:val="16"/>
      <w:szCs w:val="16"/>
      <w:lang w:val="fr-CH" w:eastAsia="en-US"/>
    </w:rPr>
  </w:style>
  <w:style w:type="paragraph" w:customStyle="1" w:styleId="ParNoG">
    <w:name w:val="_ParNo_G"/>
    <w:basedOn w:val="Normal"/>
    <w:qFormat/>
    <w:rsid w:val="007245EE"/>
    <w:pPr>
      <w:numPr>
        <w:numId w:val="24"/>
      </w:numPr>
      <w:tabs>
        <w:tab w:val="left" w:pos="1701"/>
        <w:tab w:val="left" w:pos="2268"/>
        <w:tab w:val="left" w:pos="2835"/>
      </w:tabs>
      <w:kinsoku w:val="0"/>
      <w:overflowPunct w:val="0"/>
      <w:autoSpaceDE w:val="0"/>
      <w:autoSpaceDN w:val="0"/>
      <w:adjustRightInd w:val="0"/>
      <w:snapToGrid w:val="0"/>
      <w:spacing w:after="120"/>
      <w:ind w:right="1134"/>
      <w:jc w:val="both"/>
    </w:pPr>
  </w:style>
  <w:style w:type="paragraph" w:styleId="Revision">
    <w:name w:val="Revision"/>
    <w:hidden/>
    <w:uiPriority w:val="99"/>
    <w:semiHidden/>
    <w:rsid w:val="00AF12B1"/>
    <w:rPr>
      <w:lang w:val="fr-CH"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N-Docs2017\Templates\A\A_F.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EACAF512DCA2498907519FEF2FEAE1" ma:contentTypeVersion="54" ma:contentTypeDescription="Create a new document." ma:contentTypeScope="" ma:versionID="24b4db7b7eccfe09fc9807d22864a95b">
  <xsd:schema xmlns:xsd="http://www.w3.org/2001/XMLSchema" xmlns:xs="http://www.w3.org/2001/XMLSchema" xmlns:p="http://schemas.microsoft.com/office/2006/metadata/properties" xmlns:ns2="6c6497fd-db5f-4dbd-a966-3f3fb54d46eb" xmlns:ns3="3e1d78c2-8165-4b76-bd41-c5bb350378ab" targetNamespace="http://schemas.microsoft.com/office/2006/metadata/properties" ma:root="true" ma:fieldsID="a672bc386a02663e8cba66c825f62c48" ns2:_="" ns3:_="">
    <xsd:import namespace="6c6497fd-db5f-4dbd-a966-3f3fb54d46eb"/>
    <xsd:import namespace="3e1d78c2-8165-4b76-bd41-c5bb350378ab"/>
    <xsd:element name="properties">
      <xsd:complexType>
        <xsd:sequence>
          <xsd:element name="documentManagement">
            <xsd:complexType>
              <xsd:all>
                <xsd:element ref="ns2:Type_x0020_of_x0020_document"/>
                <xsd:element ref="ns2:Language" minOccurs="0"/>
                <xsd:element ref="ns2:Order0" minOccurs="0"/>
                <xsd:element ref="ns3:Symbo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6497fd-db5f-4dbd-a966-3f3fb54d46eb" elementFormDefault="qualified">
    <xsd:import namespace="http://schemas.microsoft.com/office/2006/documentManagement/types"/>
    <xsd:import namespace="http://schemas.microsoft.com/office/infopath/2007/PartnerControls"/>
    <xsd:element name="Type_x0020_of_x0020_document" ma:index="8" ma:displayName="Type of document" ma:default="5 - As received" ma:format="Dropdown" ma:internalName="Type_x0020_of_x0020_document">
      <xsd:simpleType>
        <xsd:restriction base="dms:Choice">
          <xsd:enumeration value="1 - Result of vote"/>
          <xsd:enumeration value="2 - PBI"/>
          <xsd:enumeration value="3 - Oral revision"/>
          <xsd:enumeration value="4 - As issued"/>
          <xsd:enumeration value="5 - As received"/>
        </xsd:restriction>
      </xsd:simpleType>
    </xsd:element>
    <xsd:element name="Language" ma:index="9" nillable="true" ma:displayName="Language" ma:default="English" ma:format="Dropdown" ma:internalName="Language">
      <xsd:simpleType>
        <xsd:restriction base="dms:Choice">
          <xsd:enumeration value="English"/>
          <xsd:enumeration value="French"/>
          <xsd:enumeration value="Spanish"/>
          <xsd:enumeration value="Arabic"/>
          <xsd:enumeration value="Chinese"/>
          <xsd:enumeration value="Russian"/>
        </xsd:restriction>
      </xsd:simpleType>
    </xsd:element>
    <xsd:element name="Order0" ma:index="10" nillable="true" ma:displayName="Order" ma:internalName="Order0">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3e1d78c2-8165-4b76-bd41-c5bb350378ab" elementFormDefault="qualified">
    <xsd:import namespace="http://schemas.microsoft.com/office/2006/documentManagement/types"/>
    <xsd:import namespace="http://schemas.microsoft.com/office/infopath/2007/PartnerControls"/>
    <xsd:element name="Symbol" ma:index="11" nillable="true" ma:displayName="Symbol" ma:list="5ca00b1b-839f-4340-bef6-c886a607cc53" ma:internalName="Symbol" ma:showField="Title">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anguage xmlns="6c6497fd-db5f-4dbd-a966-3f3fb54d46eb">French</Language>
    <Type_x0020_of_x0020_document xmlns="6c6497fd-db5f-4dbd-a966-3f3fb54d46eb">5 - As received</Type_x0020_of_x0020_document>
    <Symbol xmlns="3e1d78c2-8165-4b76-bd41-c5bb350378ab">34</Symbol>
    <Order0 xmlns="6c6497fd-db5f-4dbd-a966-3f3fb54d46eb" xsi:nil="true"/>
  </documentManagement>
</p:properties>
</file>

<file path=customXml/itemProps1.xml><?xml version="1.0" encoding="utf-8"?>
<ds:datastoreItem xmlns:ds="http://schemas.openxmlformats.org/officeDocument/2006/customXml" ds:itemID="{2F55C1EA-230E-40EE-ABF3-1C49C94A2BD7}"/>
</file>

<file path=customXml/itemProps2.xml><?xml version="1.0" encoding="utf-8"?>
<ds:datastoreItem xmlns:ds="http://schemas.openxmlformats.org/officeDocument/2006/customXml" ds:itemID="{EE8DF596-3395-4879-8C89-D14C6459B8E6}">
  <ds:schemaRefs>
    <ds:schemaRef ds:uri="http://schemas.microsoft.com/sharepoint/v3/contenttype/forms"/>
  </ds:schemaRefs>
</ds:datastoreItem>
</file>

<file path=customXml/itemProps3.xml><?xml version="1.0" encoding="utf-8"?>
<ds:datastoreItem xmlns:ds="http://schemas.openxmlformats.org/officeDocument/2006/customXml" ds:itemID="{C2681C8D-1CA2-4BF0-A462-F02F72A1C09D}">
  <ds:schemaRefs>
    <ds:schemaRef ds:uri="http://schemas.microsoft.com/office/2006/metadata/properties"/>
    <ds:schemaRef ds:uri="http://schemas.microsoft.com/office/infopath/2007/PartnerControls"/>
    <ds:schemaRef ds:uri="bb0ca9ba-941c-40df-b04b-bfabd62ea666"/>
    <ds:schemaRef ds:uri="84722e3b-25e0-496d-a9f5-d37e31027713"/>
  </ds:schemaRefs>
</ds:datastoreItem>
</file>

<file path=docMetadata/LabelInfo.xml><?xml version="1.0" encoding="utf-8"?>
<clbl:labelList xmlns:clbl="http://schemas.microsoft.com/office/2020/mipLabelMetadata">
  <clbl:label id="{606bed3f-efae-4d70-a15b-866bb27c918d}"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A_F</Template>
  <TotalTime>4</TotalTime>
  <Pages>4</Pages>
  <Words>1698</Words>
  <Characters>9683</Characters>
  <Application>Microsoft Office Word</Application>
  <DocSecurity>0</DocSecurity>
  <Lines>80</Lines>
  <Paragraphs>22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A/HRC/RES/58/32</vt:lpstr>
      <vt:lpstr>A/HRC/37/L.</vt:lpstr>
    </vt:vector>
  </TitlesOfParts>
  <Company>CSD</Company>
  <LinksUpToDate>false</LinksUpToDate>
  <CharactersWithSpaces>11359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A/HRC/RES/58/32</dc:title>
  <dc:subject/>
  <dc:creator>Sumiko IHARA</dc:creator>
  <cp:keywords/>
  <cp:lastModifiedBy>Matias Pellado</cp:lastModifiedBy>
  <cp:revision>7</cp:revision>
  <cp:lastPrinted>2026-03-18T14:13:00Z</cp:lastPrinted>
  <dcterms:created xsi:type="dcterms:W3CDTF">2026-03-19T09:22:00Z</dcterms:created>
  <dcterms:modified xsi:type="dcterms:W3CDTF">2026-03-19T09:26:00Z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0x01010043EACAF512DCA2498907519FEF2FEAE1</vt:lpwstr>
  </property>
  <property fmtid="{D5CDD505-2E9C-101B-9397-08002B2CF9AE}" pid="3" name="Order">
    <vt:r8>100</vt:r8>
  </property>
  <property fmtid="{D5CDD505-2E9C-101B-9397-08002B2CF9AE}" pid="4" name="MediaServiceImageTags">
    <vt:lpwstr/>
  </property>
</Properties>
</file>