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50B5E" w14:textId="184C9EE5" w:rsidR="00E516E7" w:rsidRPr="00D56639" w:rsidRDefault="00E516E7" w:rsidP="00E516E7">
      <w:pPr>
        <w:suppressAutoHyphens w:val="0"/>
        <w:autoSpaceDN w:val="0"/>
        <w:spacing w:line="240" w:lineRule="auto"/>
        <w:rPr>
          <w:b/>
          <w:color w:val="0000CC"/>
          <w:sz w:val="24"/>
          <w:szCs w:val="24"/>
          <w:lang w:val="en-US"/>
        </w:rPr>
      </w:pPr>
      <w:bookmarkStart w:id="0" w:name="_Hlk224660017"/>
      <w:r w:rsidRPr="00D56639">
        <w:rPr>
          <w:b/>
          <w:color w:val="0000CC"/>
          <w:sz w:val="24"/>
          <w:szCs w:val="24"/>
          <w:lang w:val="en-US"/>
        </w:rPr>
        <w:t>A/HRC/61/L.2</w:t>
      </w:r>
      <w:r w:rsidR="00642765">
        <w:rPr>
          <w:b/>
          <w:color w:val="0000CC"/>
          <w:sz w:val="24"/>
          <w:szCs w:val="24"/>
          <w:lang w:val="en-US"/>
        </w:rPr>
        <w:t>6</w:t>
      </w:r>
    </w:p>
    <w:p w14:paraId="51121533" w14:textId="2F4C2405" w:rsidR="00E516E7" w:rsidRPr="00D56639" w:rsidRDefault="00E516E7" w:rsidP="00E516E7">
      <w:pPr>
        <w:suppressAutoHyphens w:val="0"/>
        <w:autoSpaceDN w:val="0"/>
        <w:spacing w:line="240" w:lineRule="auto"/>
        <w:rPr>
          <w:b/>
          <w:color w:val="0000CC"/>
          <w:sz w:val="24"/>
          <w:szCs w:val="24"/>
          <w:lang w:val="en-US"/>
        </w:rPr>
      </w:pPr>
      <w:r w:rsidRPr="00D56639">
        <w:rPr>
          <w:b/>
          <w:color w:val="0000CC"/>
          <w:sz w:val="24"/>
          <w:szCs w:val="24"/>
          <w:lang w:val="en-US"/>
        </w:rPr>
        <w:t xml:space="preserve">Item </w:t>
      </w:r>
      <w:r>
        <w:rPr>
          <w:b/>
          <w:color w:val="0000CC"/>
          <w:sz w:val="24"/>
          <w:szCs w:val="24"/>
          <w:lang w:val="en-US"/>
        </w:rPr>
        <w:t>3</w:t>
      </w:r>
    </w:p>
    <w:p w14:paraId="3DC42FB4" w14:textId="5D26F40D" w:rsidR="00E516E7" w:rsidRPr="00D56639" w:rsidRDefault="00E516E7" w:rsidP="00875374">
      <w:pPr>
        <w:suppressAutoHyphens w:val="0"/>
        <w:autoSpaceDN w:val="0"/>
        <w:spacing w:line="240" w:lineRule="auto"/>
        <w:rPr>
          <w:b/>
          <w:color w:val="0000CC"/>
          <w:sz w:val="24"/>
          <w:szCs w:val="24"/>
          <w:lang w:val="en-US"/>
        </w:rPr>
      </w:pPr>
      <w:r w:rsidRPr="00D56639">
        <w:rPr>
          <w:b/>
          <w:color w:val="0000CC"/>
          <w:sz w:val="24"/>
          <w:szCs w:val="24"/>
          <w:lang w:val="en-US"/>
        </w:rPr>
        <w:t xml:space="preserve">Received from (main sponsors): </w:t>
      </w:r>
      <w:r w:rsidR="00642765" w:rsidRPr="00642765">
        <w:rPr>
          <w:b/>
          <w:bCs/>
          <w:color w:val="0000CC"/>
          <w:sz w:val="24"/>
          <w:szCs w:val="24"/>
          <w:lang w:bidi="en-US"/>
        </w:rPr>
        <w:t>Brazil, Cabo Verde, Dominican Republic</w:t>
      </w:r>
    </w:p>
    <w:p w14:paraId="2A66CEA1" w14:textId="0F81C2F3" w:rsidR="00E516E7" w:rsidRPr="00D56639" w:rsidRDefault="00E516E7" w:rsidP="00E516E7">
      <w:pPr>
        <w:suppressAutoHyphens w:val="0"/>
        <w:autoSpaceDN w:val="0"/>
        <w:spacing w:line="240" w:lineRule="auto"/>
        <w:rPr>
          <w:b/>
          <w:color w:val="0000CC"/>
          <w:sz w:val="24"/>
          <w:szCs w:val="24"/>
          <w:lang w:val="en-US"/>
        </w:rPr>
      </w:pPr>
      <w:r w:rsidRPr="00D56639">
        <w:rPr>
          <w:b/>
          <w:color w:val="0000CC"/>
          <w:sz w:val="24"/>
          <w:szCs w:val="24"/>
          <w:lang w:val="en-US"/>
        </w:rPr>
        <w:t>Date and time: 1</w:t>
      </w:r>
      <w:r w:rsidR="00875374">
        <w:rPr>
          <w:b/>
          <w:color w:val="0000CC"/>
          <w:sz w:val="24"/>
          <w:szCs w:val="24"/>
          <w:lang w:val="en-US"/>
        </w:rPr>
        <w:t>8</w:t>
      </w:r>
      <w:r w:rsidRPr="00D56639">
        <w:rPr>
          <w:b/>
          <w:color w:val="0000CC"/>
          <w:sz w:val="24"/>
          <w:szCs w:val="24"/>
          <w:lang w:val="en-US"/>
        </w:rPr>
        <w:t xml:space="preserve">/03/2026, </w:t>
      </w:r>
      <w:r w:rsidR="00875374">
        <w:rPr>
          <w:b/>
          <w:color w:val="0000CC"/>
          <w:sz w:val="24"/>
          <w:szCs w:val="24"/>
          <w:lang w:val="en-US"/>
        </w:rPr>
        <w:t>9</w:t>
      </w:r>
      <w:r w:rsidRPr="00D56639">
        <w:rPr>
          <w:b/>
          <w:color w:val="0000CC"/>
          <w:sz w:val="24"/>
          <w:szCs w:val="24"/>
          <w:lang w:val="en-US"/>
        </w:rPr>
        <w:t>:</w:t>
      </w:r>
      <w:r w:rsidR="00875374">
        <w:rPr>
          <w:b/>
          <w:color w:val="0000CC"/>
          <w:sz w:val="24"/>
          <w:szCs w:val="24"/>
          <w:lang w:val="en-US"/>
        </w:rPr>
        <w:t>0</w:t>
      </w:r>
      <w:r w:rsidR="00642765">
        <w:rPr>
          <w:b/>
          <w:color w:val="0000CC"/>
          <w:sz w:val="24"/>
          <w:szCs w:val="24"/>
          <w:lang w:val="en-US"/>
        </w:rPr>
        <w:t>0</w:t>
      </w:r>
    </w:p>
    <w:p w14:paraId="4511BFD8" w14:textId="77777777" w:rsidR="00E516E7" w:rsidRPr="00D56639" w:rsidRDefault="00E516E7" w:rsidP="00E516E7">
      <w:pPr>
        <w:suppressAutoHyphens w:val="0"/>
        <w:autoSpaceDN w:val="0"/>
        <w:spacing w:line="240" w:lineRule="auto"/>
        <w:rPr>
          <w:b/>
          <w:color w:val="0000CC"/>
          <w:sz w:val="24"/>
          <w:szCs w:val="24"/>
          <w:lang w:val="en-US"/>
        </w:rPr>
      </w:pPr>
      <w:r w:rsidRPr="00D56639">
        <w:rPr>
          <w:b/>
          <w:color w:val="0000CC"/>
          <w:sz w:val="24"/>
          <w:szCs w:val="24"/>
          <w:lang w:val="en-US"/>
        </w:rPr>
        <w:t>Initials: MP</w:t>
      </w:r>
    </w:p>
    <w:p w14:paraId="54F994A3" w14:textId="27F7DB88" w:rsidR="00E516E7" w:rsidRPr="00D56639" w:rsidRDefault="00E516E7" w:rsidP="00E516E7">
      <w:pPr>
        <w:suppressAutoHyphens w:val="0"/>
        <w:autoSpaceDN w:val="0"/>
        <w:spacing w:line="240" w:lineRule="auto"/>
        <w:rPr>
          <w:b/>
          <w:color w:val="0000CC"/>
          <w:sz w:val="24"/>
          <w:szCs w:val="24"/>
          <w:lang w:val="en-US"/>
        </w:rPr>
      </w:pPr>
      <w:r w:rsidRPr="00D56639">
        <w:rPr>
          <w:b/>
          <w:color w:val="0000CC"/>
          <w:sz w:val="24"/>
          <w:szCs w:val="24"/>
          <w:lang w:val="en-US"/>
        </w:rPr>
        <w:t xml:space="preserve">Page 1 of </w:t>
      </w:r>
      <w:r w:rsidR="00875374">
        <w:rPr>
          <w:b/>
          <w:color w:val="0000CC"/>
          <w:sz w:val="24"/>
          <w:szCs w:val="24"/>
          <w:lang w:val="en-US"/>
        </w:rPr>
        <w:t>4</w:t>
      </w:r>
    </w:p>
    <w:p w14:paraId="169A16D8" w14:textId="710BB0F8" w:rsidR="009F21A9" w:rsidRPr="009F21A9" w:rsidRDefault="00A623DA" w:rsidP="00E516E7">
      <w:pPr>
        <w:keepNext/>
        <w:keepLines/>
        <w:spacing w:before="360" w:after="240" w:line="270" w:lineRule="exact"/>
        <w:ind w:left="1134" w:right="1134"/>
        <w:jc w:val="both"/>
        <w:rPr>
          <w:b/>
          <w:sz w:val="24"/>
        </w:rPr>
      </w:pPr>
      <w:r>
        <w:rPr>
          <w:b/>
          <w:sz w:val="24"/>
        </w:rPr>
        <w:t>The human rights of persons in street situations</w:t>
      </w:r>
    </w:p>
    <w:p w14:paraId="306B296C" w14:textId="3E3091D5" w:rsidR="009F21A9" w:rsidRPr="009F21A9" w:rsidRDefault="00614B58" w:rsidP="009F21A9">
      <w:pPr>
        <w:spacing w:after="120"/>
        <w:ind w:left="1134" w:right="1134"/>
        <w:jc w:val="both"/>
      </w:pPr>
      <w:r>
        <w:tab/>
      </w:r>
      <w:r w:rsidR="009F21A9" w:rsidRPr="009F21A9">
        <w:tab/>
      </w:r>
      <w:r w:rsidR="009F21A9" w:rsidRPr="009F21A9">
        <w:rPr>
          <w:i/>
        </w:rPr>
        <w:t>The Human Rights Council</w:t>
      </w:r>
      <w:r w:rsidR="009F21A9" w:rsidRPr="009F21A9">
        <w:t>,</w:t>
      </w:r>
    </w:p>
    <w:p w14:paraId="00A9712E" w14:textId="38ED7B4B" w:rsidR="00A623DA" w:rsidRPr="00A623DA" w:rsidRDefault="00471B7C" w:rsidP="00A623DA">
      <w:pPr>
        <w:pStyle w:val="SingleTxtG"/>
      </w:pPr>
      <w:r>
        <w:tab/>
      </w:r>
      <w:r>
        <w:tab/>
      </w:r>
      <w:bookmarkStart w:id="1" w:name="_Hlk222926278"/>
      <w:r w:rsidR="00A623DA" w:rsidRPr="003C54A6">
        <w:rPr>
          <w:i/>
        </w:rPr>
        <w:t>Guided</w:t>
      </w:r>
      <w:r w:rsidR="00A623DA" w:rsidRPr="003C54A6">
        <w:rPr>
          <w:iCs/>
        </w:rPr>
        <w:t xml:space="preserve"> by the Charter of the United Nations,</w:t>
      </w:r>
      <w:bookmarkEnd w:id="1"/>
    </w:p>
    <w:p w14:paraId="7F67A003" w14:textId="65B59F6D" w:rsidR="00A623DA" w:rsidRPr="003C54A6" w:rsidRDefault="002D76B6" w:rsidP="002D76B6">
      <w:pPr>
        <w:pStyle w:val="SingleTxtG"/>
        <w:rPr>
          <w:iCs/>
        </w:rPr>
      </w:pPr>
      <w:r>
        <w:tab/>
      </w:r>
      <w:r>
        <w:tab/>
      </w:r>
      <w:r w:rsidR="00A623DA" w:rsidRPr="003C54A6">
        <w:rPr>
          <w:i/>
        </w:rPr>
        <w:t>Recalling</w:t>
      </w:r>
      <w:r w:rsidR="00A623DA" w:rsidRPr="003C54A6">
        <w:rPr>
          <w:iCs/>
        </w:rPr>
        <w:t xml:space="preserve"> the Universal Declaration of Human Rights, the International </w:t>
      </w:r>
      <w:r w:rsidR="00A623DA" w:rsidRPr="003C54A6">
        <w:rPr>
          <w:bCs/>
          <w:iCs/>
        </w:rPr>
        <w:t>Covenant</w:t>
      </w:r>
      <w:r w:rsidR="00A623DA" w:rsidRPr="003C54A6">
        <w:rPr>
          <w:iCs/>
        </w:rPr>
        <w:t xml:space="preserve"> on Civil and Political Rights, the International Covenant on Economic, Social and Cultural Rights, the International Convention on the Elimination of All Forms of Racial Discrimination, the Convention on the Rights of the Child, the Convention on the Elimination of All Forms of Discrimination against Women, the Convention on the Rights of Persons with Disabilities, and other relevant international human rights instruments,</w:t>
      </w:r>
    </w:p>
    <w:p w14:paraId="45729D09" w14:textId="533CB803" w:rsidR="00A623DA" w:rsidRPr="003C54A6" w:rsidRDefault="002D76B6" w:rsidP="002D76B6">
      <w:pPr>
        <w:pStyle w:val="SingleTxtG"/>
        <w:rPr>
          <w:iCs/>
        </w:rPr>
      </w:pPr>
      <w:r>
        <w:tab/>
      </w:r>
      <w:r>
        <w:tab/>
      </w:r>
      <w:r w:rsidR="00A623DA" w:rsidRPr="003C54A6">
        <w:rPr>
          <w:i/>
          <w:iCs/>
        </w:rPr>
        <w:t>Recalling</w:t>
      </w:r>
      <w:r w:rsidR="00A623DA" w:rsidRPr="003C54A6">
        <w:rPr>
          <w:iCs/>
        </w:rPr>
        <w:t xml:space="preserve"> also relevant Human Rights Council resolutions, in particular the resolutions on the right on adequate housing as a component of the right to an adequate standard of living, and on the right to non-discrimination in this context; on extreme poverty and human rights; on the right to education; on the right to food; on the right of everyone to the enjoyment of the highest attainable standard of physical and mental health; on the rights of persons with disabilities; on the rights of the child; on the human rights of older persons; on contemporary forms of racism, racial discrimination, xenophobia and related intolerance; </w:t>
      </w:r>
      <w:bookmarkStart w:id="2" w:name="_Hlk223970391"/>
      <w:r w:rsidR="00A623DA" w:rsidRPr="003C54A6">
        <w:rPr>
          <w:iCs/>
        </w:rPr>
        <w:t>on the human right of a clean, healthy and sustainable environment</w:t>
      </w:r>
      <w:bookmarkEnd w:id="2"/>
      <w:r w:rsidR="00A623DA" w:rsidRPr="003C54A6">
        <w:rPr>
          <w:iCs/>
        </w:rPr>
        <w:t xml:space="preserve">; on human rights and climate change; </w:t>
      </w:r>
      <w:bookmarkStart w:id="3" w:name="_Hlk223970425"/>
      <w:r w:rsidR="00A623DA" w:rsidRPr="003C54A6">
        <w:rPr>
          <w:iCs/>
        </w:rPr>
        <w:t>on the question of realization in all countries of economic, social, and cultural rights; and on the human rights implications of drug policy,</w:t>
      </w:r>
    </w:p>
    <w:bookmarkEnd w:id="3"/>
    <w:p w14:paraId="58FF30B8" w14:textId="0ABC624F" w:rsidR="00A623DA" w:rsidRPr="003C54A6" w:rsidRDefault="002D76B6" w:rsidP="002D76B6">
      <w:pPr>
        <w:pStyle w:val="SingleTxtG"/>
        <w:rPr>
          <w:iCs/>
        </w:rPr>
      </w:pPr>
      <w:r>
        <w:tab/>
      </w:r>
      <w:r>
        <w:tab/>
      </w:r>
      <w:r w:rsidR="00A623DA" w:rsidRPr="003C54A6">
        <w:rPr>
          <w:i/>
          <w:iCs/>
        </w:rPr>
        <w:t>Noting</w:t>
      </w:r>
      <w:r w:rsidR="00A623DA" w:rsidRPr="003C54A6">
        <w:rPr>
          <w:iCs/>
        </w:rPr>
        <w:t xml:space="preserve"> the relevant work and recommendations from the Committee on the Elimination of Discrimination against Women, the Committee on Economic, Social and Cultural Rights, the Human Rights Committee, the Committee on the Elimination of Racial Discrimination, and the Committee on the Rights of the Child, </w:t>
      </w:r>
    </w:p>
    <w:p w14:paraId="50FCE380" w14:textId="354AD6F7" w:rsidR="00A623DA" w:rsidRPr="003C54A6" w:rsidRDefault="002D76B6" w:rsidP="002D76B6">
      <w:pPr>
        <w:pStyle w:val="SingleTxtG"/>
        <w:rPr>
          <w:iCs/>
        </w:rPr>
      </w:pPr>
      <w:r>
        <w:tab/>
      </w:r>
      <w:r>
        <w:tab/>
      </w:r>
      <w:r w:rsidR="00A623DA" w:rsidRPr="003C54A6">
        <w:rPr>
          <w:i/>
          <w:iCs/>
        </w:rPr>
        <w:t>Referring</w:t>
      </w:r>
      <w:r w:rsidR="00A623DA" w:rsidRPr="003C54A6">
        <w:rPr>
          <w:iCs/>
        </w:rPr>
        <w:t xml:space="preserve"> to General Assembly resolution 80/175 of 15 December 2025, on inclusive policies and programmes to address homelessness, and the Economic and Social Council resolution 2020/7 of 18 June 2020, on affordable housing and social protection systems for all to address homelessness,</w:t>
      </w:r>
    </w:p>
    <w:p w14:paraId="5FE3A953" w14:textId="67DF64AA" w:rsidR="00A623DA" w:rsidRPr="003C54A6" w:rsidRDefault="002D76B6" w:rsidP="002D76B6">
      <w:pPr>
        <w:pStyle w:val="SingleTxtG"/>
        <w:rPr>
          <w:iCs/>
        </w:rPr>
      </w:pPr>
      <w:r>
        <w:tab/>
      </w:r>
      <w:r>
        <w:tab/>
      </w:r>
      <w:r w:rsidR="00A623DA" w:rsidRPr="003C54A6">
        <w:rPr>
          <w:i/>
        </w:rPr>
        <w:t>Bearing in mind</w:t>
      </w:r>
      <w:r w:rsidR="00A623DA" w:rsidRPr="003C54A6">
        <w:rPr>
          <w:iCs/>
        </w:rPr>
        <w:t xml:space="preserve"> the 2030 Agenda for Sustainable Development and the Sustainable Development Goals, the Announcements on Initiatives to Accelerate the SDGs at UN SDG Summit in 2023,</w:t>
      </w:r>
    </w:p>
    <w:p w14:paraId="3BE3C578" w14:textId="69C8F34D" w:rsidR="00A623DA" w:rsidRPr="003C54A6" w:rsidRDefault="002D76B6" w:rsidP="002D76B6">
      <w:pPr>
        <w:pStyle w:val="SingleTxtG"/>
        <w:rPr>
          <w:iCs/>
        </w:rPr>
      </w:pPr>
      <w:r>
        <w:tab/>
      </w:r>
      <w:r>
        <w:tab/>
      </w:r>
      <w:r w:rsidR="00A623DA" w:rsidRPr="00F8671C">
        <w:rPr>
          <w:i/>
        </w:rPr>
        <w:t>Recalling</w:t>
      </w:r>
      <w:r w:rsidR="00A623DA" w:rsidRPr="003C54A6">
        <w:rPr>
          <w:iCs/>
        </w:rPr>
        <w:t xml:space="preserve"> General Assembly resolution 79/1 of 22 September 2024, which adopted the Pact for the Future,</w:t>
      </w:r>
    </w:p>
    <w:p w14:paraId="2C1B7126" w14:textId="7FEA295B" w:rsidR="00A623DA" w:rsidRPr="003C54A6" w:rsidRDefault="002D76B6" w:rsidP="002D76B6">
      <w:pPr>
        <w:pStyle w:val="SingleTxtG"/>
        <w:rPr>
          <w:iCs/>
        </w:rPr>
      </w:pPr>
      <w:r>
        <w:tab/>
      </w:r>
      <w:r>
        <w:tab/>
      </w:r>
      <w:r w:rsidR="00A623DA" w:rsidRPr="00F8671C">
        <w:rPr>
          <w:i/>
          <w:iCs/>
        </w:rPr>
        <w:t>Recalling</w:t>
      </w:r>
      <w:r w:rsidR="00A623DA" w:rsidRPr="003C54A6">
        <w:rPr>
          <w:iCs/>
        </w:rPr>
        <w:t xml:space="preserve"> General Assembly resolution 79/323 of 25 August 2025, in which the Assembly endorsed the Sevilla Commitment adopted at the Fourth International Conference on Financing for Development, which further reaffirmed that the pursuit and enjoyment of human rights and fundamental freedoms for all, encompassing </w:t>
      </w:r>
      <w:bookmarkStart w:id="4" w:name="_Hlk223971435"/>
      <w:r w:rsidR="00A623DA" w:rsidRPr="003C54A6">
        <w:rPr>
          <w:iCs/>
        </w:rPr>
        <w:t>civil, political, economic, social and cultural rights</w:t>
      </w:r>
      <w:bookmarkEnd w:id="4"/>
      <w:r w:rsidR="00A623DA" w:rsidRPr="003C54A6">
        <w:rPr>
          <w:iCs/>
        </w:rPr>
        <w:t>, which includes the right to development, must be respected, protected and promoted, without distinction or discrimination of any kind,</w:t>
      </w:r>
    </w:p>
    <w:p w14:paraId="33D08F81" w14:textId="38FEA338" w:rsidR="00A623DA" w:rsidRPr="003C54A6" w:rsidRDefault="002D76B6" w:rsidP="002D76B6">
      <w:pPr>
        <w:pStyle w:val="SingleTxtG"/>
        <w:rPr>
          <w:iCs/>
        </w:rPr>
      </w:pPr>
      <w:r>
        <w:tab/>
      </w:r>
      <w:r>
        <w:tab/>
      </w:r>
      <w:r w:rsidR="00A623DA" w:rsidRPr="00F8671C">
        <w:rPr>
          <w:i/>
          <w:iCs/>
        </w:rPr>
        <w:t>Recalling</w:t>
      </w:r>
      <w:r w:rsidR="00A623DA" w:rsidRPr="003C54A6">
        <w:rPr>
          <w:iCs/>
        </w:rPr>
        <w:t xml:space="preserve"> General Assembly resolution 80/5 of 4 of November 2025, by which the Assembly adopted the Doha Political Declaration on the "World Social Summit" under the title "the Second World Summit for Social Development,</w:t>
      </w:r>
    </w:p>
    <w:p w14:paraId="631E1364" w14:textId="63421CCC" w:rsidR="00A623DA" w:rsidRPr="003C54A6" w:rsidRDefault="002D76B6" w:rsidP="002D76B6">
      <w:pPr>
        <w:pStyle w:val="SingleTxtG"/>
        <w:rPr>
          <w:iCs/>
        </w:rPr>
      </w:pPr>
      <w:r>
        <w:tab/>
      </w:r>
      <w:r>
        <w:tab/>
      </w:r>
      <w:r w:rsidR="00A623DA" w:rsidRPr="00F8671C">
        <w:rPr>
          <w:i/>
          <w:iCs/>
        </w:rPr>
        <w:t>Noting</w:t>
      </w:r>
      <w:r w:rsidR="00A623DA" w:rsidRPr="003C54A6">
        <w:rPr>
          <w:iCs/>
        </w:rPr>
        <w:t xml:space="preserve"> the joint study entitled “Breaking the cycle: ending the criminalization of homelessness and poverty”</w:t>
      </w:r>
      <w:r w:rsidR="00A623DA" w:rsidRPr="00F8671C">
        <w:rPr>
          <w:rStyle w:val="FootnoteReference"/>
          <w:rFonts w:eastAsiaTheme="minorHAnsi"/>
          <w:iCs/>
          <w:sz w:val="24"/>
          <w:szCs w:val="24"/>
          <w:shd w:val="clear" w:color="auto" w:fill="FFFFFF"/>
        </w:rPr>
        <w:footnoteReference w:id="2"/>
      </w:r>
      <w:r w:rsidR="00A623DA">
        <w:t>,</w:t>
      </w:r>
      <w:r w:rsidR="00A623DA" w:rsidRPr="003C54A6">
        <w:rPr>
          <w:iCs/>
        </w:rPr>
        <w:t>by the Special Rapporteur on extreme poverty and human rights and the Special Rapporteur on adequate housing as a component of the right to and adequate standard of living, the report of the United Nations Secretary-General on inclusive policies and programmes to address homelessness</w:t>
      </w:r>
      <w:r w:rsidR="00A623DA" w:rsidRPr="00F8671C">
        <w:rPr>
          <w:rStyle w:val="FootnoteReference"/>
          <w:rFonts w:eastAsiaTheme="minorHAnsi"/>
          <w:iCs/>
          <w:sz w:val="24"/>
          <w:szCs w:val="24"/>
          <w:shd w:val="clear" w:color="auto" w:fill="FFFFFF"/>
        </w:rPr>
        <w:footnoteReference w:id="3"/>
      </w:r>
      <w:r w:rsidR="00A623DA" w:rsidRPr="003C54A6">
        <w:rPr>
          <w:iCs/>
        </w:rPr>
        <w:t>, the report of the United Nations High Commissioner for Human Rights on the protection and promotion of the rights of children working and/or living on the street</w:t>
      </w:r>
      <w:r w:rsidR="00A623DA" w:rsidRPr="00F8671C">
        <w:rPr>
          <w:rStyle w:val="FootnoteReference"/>
          <w:rFonts w:eastAsiaTheme="minorHAnsi"/>
          <w:iCs/>
          <w:sz w:val="24"/>
          <w:szCs w:val="24"/>
          <w:shd w:val="clear" w:color="auto" w:fill="FFFFFF"/>
        </w:rPr>
        <w:footnoteReference w:id="4"/>
      </w:r>
      <w:r w:rsidR="00A623DA" w:rsidRPr="003C54A6">
        <w:rPr>
          <w:iCs/>
        </w:rPr>
        <w:t xml:space="preserve">, and </w:t>
      </w:r>
      <w:bookmarkStart w:id="5" w:name="_Hlk223971750"/>
      <w:r w:rsidR="00A623DA" w:rsidRPr="003C54A6">
        <w:rPr>
          <w:iCs/>
        </w:rPr>
        <w:t>the report of the Special Rapporteur on the sale, sexual exploitation and sexual abuse of children</w:t>
      </w:r>
      <w:bookmarkEnd w:id="5"/>
      <w:r w:rsidR="00A623DA" w:rsidRPr="00F8671C">
        <w:rPr>
          <w:rStyle w:val="FootnoteReference"/>
          <w:rFonts w:eastAsiaTheme="minorHAnsi"/>
          <w:iCs/>
          <w:sz w:val="24"/>
          <w:szCs w:val="24"/>
          <w:shd w:val="clear" w:color="auto" w:fill="FFFFFF"/>
        </w:rPr>
        <w:footnoteReference w:id="5"/>
      </w:r>
      <w:r w:rsidR="00A623DA">
        <w:t>,</w:t>
      </w:r>
    </w:p>
    <w:p w14:paraId="13DAC0C4" w14:textId="719EF7FD" w:rsidR="00A623DA" w:rsidRPr="003C54A6" w:rsidRDefault="002D76B6" w:rsidP="002D76B6">
      <w:pPr>
        <w:pStyle w:val="SingleTxtG"/>
        <w:rPr>
          <w:iCs/>
        </w:rPr>
      </w:pPr>
      <w:r>
        <w:tab/>
      </w:r>
      <w:r>
        <w:tab/>
      </w:r>
      <w:r w:rsidR="00A623DA" w:rsidRPr="00F8671C">
        <w:rPr>
          <w:i/>
          <w:iCs/>
        </w:rPr>
        <w:t>Recalling</w:t>
      </w:r>
      <w:r w:rsidR="00A623DA" w:rsidRPr="003C54A6">
        <w:rPr>
          <w:iCs/>
        </w:rPr>
        <w:t xml:space="preserve"> the Guiding Principles on Extreme Poverty and Human Rights</w:t>
      </w:r>
      <w:r w:rsidR="00A623DA" w:rsidRPr="00F8671C">
        <w:rPr>
          <w:rStyle w:val="FootnoteReference"/>
          <w:rFonts w:eastAsiaTheme="minorHAnsi"/>
          <w:iCs/>
          <w:sz w:val="24"/>
          <w:szCs w:val="24"/>
          <w:shd w:val="clear" w:color="auto" w:fill="FFFFFF"/>
        </w:rPr>
        <w:footnoteReference w:id="6"/>
      </w:r>
      <w:r w:rsidR="00A623DA">
        <w:rPr>
          <w:iCs/>
        </w:rPr>
        <w:t>,</w:t>
      </w:r>
    </w:p>
    <w:p w14:paraId="4A21E616" w14:textId="0D51BCA7" w:rsidR="00A623DA" w:rsidRPr="003C54A6" w:rsidRDefault="002D76B6" w:rsidP="002D76B6">
      <w:pPr>
        <w:pStyle w:val="SingleTxtG"/>
        <w:rPr>
          <w:iCs/>
        </w:rPr>
      </w:pPr>
      <w:r>
        <w:tab/>
      </w:r>
      <w:r>
        <w:tab/>
      </w:r>
      <w:r w:rsidR="00A623DA" w:rsidRPr="003001D0">
        <w:rPr>
          <w:i/>
          <w:iCs/>
        </w:rPr>
        <w:t>Noting</w:t>
      </w:r>
      <w:r w:rsidR="00A623DA" w:rsidRPr="003C54A6">
        <w:rPr>
          <w:iCs/>
        </w:rPr>
        <w:t xml:space="preserve"> the work of the Special Rapporteur on adequate housing as a component of the right to an adequate standard of living, and on the right to non-discrimination in this context, including the Guidelines for the Implementation of the Right to Adequate Housing</w:t>
      </w:r>
      <w:r w:rsidR="00A623DA" w:rsidRPr="00F8671C">
        <w:rPr>
          <w:rStyle w:val="FootnoteReference"/>
          <w:rFonts w:eastAsiaTheme="minorHAnsi"/>
          <w:iCs/>
          <w:sz w:val="24"/>
          <w:szCs w:val="24"/>
          <w:shd w:val="clear" w:color="auto" w:fill="FFFFFF"/>
        </w:rPr>
        <w:footnoteReference w:id="7"/>
      </w:r>
      <w:r w:rsidR="00A623DA">
        <w:t xml:space="preserve">, </w:t>
      </w:r>
      <w:r w:rsidR="00A623DA" w:rsidRPr="003C54A6">
        <w:rPr>
          <w:iCs/>
        </w:rPr>
        <w:t xml:space="preserve">and the work of the UN </w:t>
      </w:r>
      <w:bookmarkStart w:id="6" w:name="_Hlk223971931"/>
      <w:r w:rsidR="00A623DA" w:rsidRPr="003C54A6">
        <w:rPr>
          <w:iCs/>
        </w:rPr>
        <w:t>Habitat Open-Ended Intergovernmental Expert Working Group on Adequate Housing</w:t>
      </w:r>
      <w:bookmarkEnd w:id="6"/>
      <w:r w:rsidR="00A623DA" w:rsidRPr="003C54A6">
        <w:rPr>
          <w:iCs/>
        </w:rPr>
        <w:t>,</w:t>
      </w:r>
    </w:p>
    <w:p w14:paraId="1184AD64" w14:textId="23632C13" w:rsidR="00A623DA" w:rsidRPr="003C54A6" w:rsidRDefault="002D76B6" w:rsidP="002D76B6">
      <w:pPr>
        <w:pStyle w:val="SingleTxtG"/>
        <w:rPr>
          <w:iCs/>
        </w:rPr>
      </w:pPr>
      <w:r>
        <w:tab/>
      </w:r>
      <w:r>
        <w:tab/>
      </w:r>
      <w:r w:rsidR="00A623DA" w:rsidRPr="00F8671C">
        <w:rPr>
          <w:i/>
        </w:rPr>
        <w:t>Recalling</w:t>
      </w:r>
      <w:r w:rsidR="00A623DA" w:rsidRPr="003C54A6">
        <w:rPr>
          <w:iCs/>
        </w:rPr>
        <w:t xml:space="preserve"> the New Urban Agenda adopted by the United Nations Conference on Housing and Sustainable Urban Development (Habitat III) and endorsed by General Assembly resolution 71/256 of 23 December 2016, as well as UN Habitat resolution 2/7 of 9 June 2023, </w:t>
      </w:r>
    </w:p>
    <w:p w14:paraId="29FC8F2D" w14:textId="0A63DE7D" w:rsidR="00A623DA" w:rsidRPr="003C54A6" w:rsidRDefault="002D76B6" w:rsidP="002D76B6">
      <w:pPr>
        <w:pStyle w:val="SingleTxtG"/>
        <w:rPr>
          <w:iCs/>
        </w:rPr>
      </w:pPr>
      <w:r>
        <w:tab/>
      </w:r>
      <w:r>
        <w:tab/>
      </w:r>
      <w:r w:rsidR="00A623DA" w:rsidRPr="00F8671C">
        <w:rPr>
          <w:i/>
        </w:rPr>
        <w:t>Noting</w:t>
      </w:r>
      <w:r w:rsidR="00A623DA" w:rsidRPr="003C54A6">
        <w:rPr>
          <w:iCs/>
        </w:rPr>
        <w:t xml:space="preserve"> the Social Protection Floors Recommendation, 2012 (No. 202), of the International </w:t>
      </w:r>
      <w:r w:rsidR="00A623DA" w:rsidRPr="002D76B6">
        <w:rPr>
          <w:i/>
        </w:rPr>
        <w:t>Labour</w:t>
      </w:r>
      <w:r w:rsidR="00A623DA" w:rsidRPr="003C54A6">
        <w:rPr>
          <w:iCs/>
        </w:rPr>
        <w:t xml:space="preserve"> Organization, as well as its decent work agenda,</w:t>
      </w:r>
    </w:p>
    <w:p w14:paraId="590D6D84" w14:textId="01523548" w:rsidR="00A623DA" w:rsidRPr="003C54A6" w:rsidRDefault="002D76B6" w:rsidP="002D76B6">
      <w:pPr>
        <w:pStyle w:val="SingleTxtG"/>
        <w:rPr>
          <w:iCs/>
        </w:rPr>
      </w:pPr>
      <w:bookmarkStart w:id="7" w:name="_Hlk223709952"/>
      <w:r>
        <w:tab/>
      </w:r>
      <w:r>
        <w:tab/>
      </w:r>
      <w:r w:rsidR="00A623DA" w:rsidRPr="002D76B6">
        <w:rPr>
          <w:i/>
        </w:rPr>
        <w:t>Recognizing</w:t>
      </w:r>
      <w:r w:rsidR="00A623DA" w:rsidRPr="003C54A6">
        <w:rPr>
          <w:iCs/>
        </w:rPr>
        <w:t xml:space="preserve"> the importance of the universality, indivisibility, interdependence and interrelatedness of all human rights, of robust and efficient public policies, of adequately resourced and fully functioning public services and of cooperation at the national, regional and international levels to achieve progressively the full realization of all economic, social and cultural rights, </w:t>
      </w:r>
    </w:p>
    <w:bookmarkEnd w:id="7"/>
    <w:p w14:paraId="732F3552" w14:textId="05E0FCCA" w:rsidR="00A623DA" w:rsidRPr="003C54A6" w:rsidRDefault="002D76B6" w:rsidP="002D76B6">
      <w:pPr>
        <w:pStyle w:val="SingleTxtG"/>
        <w:rPr>
          <w:iCs/>
        </w:rPr>
      </w:pPr>
      <w:r>
        <w:tab/>
      </w:r>
      <w:r>
        <w:tab/>
      </w:r>
      <w:r w:rsidR="00A623DA" w:rsidRPr="00F8671C">
        <w:rPr>
          <w:i/>
          <w:iCs/>
        </w:rPr>
        <w:t>Acknowledging</w:t>
      </w:r>
      <w:r w:rsidR="00A623DA" w:rsidRPr="003C54A6">
        <w:rPr>
          <w:iCs/>
        </w:rPr>
        <w:t xml:space="preserve"> that there is no universal and globally accepted definition of persons in street situations, which poses particular challenges to accurately determine the number of individuals in different street situations worldwide and recognizing that definitions vary significantly by country, reflecting different socioeconomic contexts, cultural backgrounds and political approaches,</w:t>
      </w:r>
    </w:p>
    <w:p w14:paraId="751D78DB" w14:textId="5B69618F" w:rsidR="00A623DA" w:rsidRPr="003C54A6" w:rsidRDefault="002D76B6" w:rsidP="002D76B6">
      <w:pPr>
        <w:pStyle w:val="SingleTxtG"/>
        <w:rPr>
          <w:iCs/>
        </w:rPr>
      </w:pPr>
      <w:r>
        <w:tab/>
      </w:r>
      <w:r>
        <w:tab/>
      </w:r>
      <w:r w:rsidR="00A623DA" w:rsidRPr="00F8671C">
        <w:rPr>
          <w:i/>
          <w:iCs/>
        </w:rPr>
        <w:t>Taking into consideration</w:t>
      </w:r>
      <w:r w:rsidR="00A623DA" w:rsidRPr="003C54A6">
        <w:rPr>
          <w:iCs/>
        </w:rPr>
        <w:t xml:space="preserve"> that persons in street situations are a heterogeneous population group, often facing in common extreme poverty, social exclusion, stigma, interrupted or weakened family ties and the lack of regular conventional housing and who use public spaces, temporarily or permanently, as well as shelters or other forms of short or long-term emergency or transitional housing,</w:t>
      </w:r>
    </w:p>
    <w:p w14:paraId="06B26352" w14:textId="42C8203A" w:rsidR="00A623DA" w:rsidRPr="003C54A6" w:rsidRDefault="002D76B6" w:rsidP="002D76B6">
      <w:pPr>
        <w:pStyle w:val="SingleTxtG"/>
        <w:rPr>
          <w:iCs/>
        </w:rPr>
      </w:pPr>
      <w:r>
        <w:tab/>
      </w:r>
      <w:r>
        <w:tab/>
      </w:r>
      <w:r w:rsidR="00A623DA" w:rsidRPr="00F8671C">
        <w:rPr>
          <w:i/>
          <w:iCs/>
        </w:rPr>
        <w:t>Bearing in mind </w:t>
      </w:r>
      <w:r w:rsidR="00A623DA" w:rsidRPr="003C54A6">
        <w:rPr>
          <w:iCs/>
        </w:rPr>
        <w:t>that persons in street situation also comprise children, including orphans, with minimal protection from violence or exploitation, and noting in that regard general comment No. 21 (2017) of the Committee on the Rights of the Child,</w:t>
      </w:r>
    </w:p>
    <w:p w14:paraId="0498FAB6" w14:textId="09CD4299" w:rsidR="00A623DA" w:rsidRPr="003C54A6" w:rsidRDefault="002D76B6" w:rsidP="002D76B6">
      <w:pPr>
        <w:pStyle w:val="SingleTxtG"/>
        <w:rPr>
          <w:iCs/>
        </w:rPr>
      </w:pPr>
      <w:r>
        <w:tab/>
      </w:r>
      <w:r>
        <w:tab/>
      </w:r>
      <w:r w:rsidR="00A623DA" w:rsidRPr="00F8671C">
        <w:rPr>
          <w:i/>
          <w:iCs/>
        </w:rPr>
        <w:t>Recognizing</w:t>
      </w:r>
      <w:r w:rsidR="00A623DA" w:rsidRPr="003C54A6">
        <w:rPr>
          <w:iCs/>
        </w:rPr>
        <w:t xml:space="preserve"> that children in street situations are at heightened risk of trafficking, exploitation, abuse and recruitment into criminal activities, and emphasizing the need for responses that strengthen child protection systems consistent with the best interests of the child, and, where appropriate, promote safe, family- and community-based prevention and reintegration,</w:t>
      </w:r>
    </w:p>
    <w:p w14:paraId="7BD6DB40" w14:textId="6BD95EEC" w:rsidR="00A623DA" w:rsidRPr="003C54A6" w:rsidRDefault="002D76B6" w:rsidP="002D76B6">
      <w:pPr>
        <w:pStyle w:val="SingleTxtG"/>
        <w:rPr>
          <w:iCs/>
        </w:rPr>
      </w:pPr>
      <w:r>
        <w:tab/>
      </w:r>
      <w:r>
        <w:tab/>
      </w:r>
      <w:r w:rsidR="00A623DA" w:rsidRPr="00F8671C">
        <w:rPr>
          <w:i/>
          <w:iCs/>
        </w:rPr>
        <w:t>Deeply concerned</w:t>
      </w:r>
      <w:r w:rsidR="00A623DA" w:rsidRPr="003C54A6">
        <w:rPr>
          <w:iCs/>
        </w:rPr>
        <w:t xml:space="preserve"> by the significant number of persons in street situations in both developing and developed countries,</w:t>
      </w:r>
    </w:p>
    <w:p w14:paraId="7CA61CDC" w14:textId="5BFC3039" w:rsidR="00A623DA" w:rsidRPr="003C54A6" w:rsidRDefault="002D76B6" w:rsidP="002D76B6">
      <w:pPr>
        <w:pStyle w:val="SingleTxtG"/>
        <w:rPr>
          <w:iCs/>
        </w:rPr>
      </w:pPr>
      <w:r>
        <w:tab/>
      </w:r>
      <w:r>
        <w:tab/>
      </w:r>
      <w:r w:rsidR="00A623DA" w:rsidRPr="00F8671C">
        <w:rPr>
          <w:i/>
          <w:iCs/>
        </w:rPr>
        <w:t>Noting</w:t>
      </w:r>
      <w:r w:rsidR="00A623DA" w:rsidRPr="003C54A6">
        <w:rPr>
          <w:iCs/>
        </w:rPr>
        <w:t xml:space="preserve"> that factors leading to street situations are complex and multidimensional, including drivers such as systemic inequality, extreme poverty, lack of access to affordable housing, lack of employment opportunities, lack of social protection, insufficient physical and mental health care, forced evictions, limited or lack of access to education,  insufficiently prepared release from health care or correctional institutions, and displacements induced by extreme weather events, environmental degradation or conflicts,</w:t>
      </w:r>
    </w:p>
    <w:p w14:paraId="0BAE1272" w14:textId="05B6DEBC" w:rsidR="00A623DA" w:rsidRPr="003C54A6" w:rsidRDefault="002D76B6" w:rsidP="002D76B6">
      <w:pPr>
        <w:pStyle w:val="SingleTxtG"/>
        <w:rPr>
          <w:iCs/>
        </w:rPr>
      </w:pPr>
      <w:r>
        <w:tab/>
      </w:r>
      <w:r>
        <w:tab/>
      </w:r>
      <w:r w:rsidR="00A623DA" w:rsidRPr="00F8671C">
        <w:rPr>
          <w:i/>
          <w:iCs/>
        </w:rPr>
        <w:t>Also noting</w:t>
      </w:r>
      <w:r w:rsidR="00A623DA" w:rsidRPr="003C54A6">
        <w:rPr>
          <w:iCs/>
        </w:rPr>
        <w:t xml:space="preserve"> that street situations can be driven by family and personal circumstances, including family breakdowns, unemployment, alcoholism and/or drug addiction and abuse, discrimination on the basis of physical and psychosocial disabilities, loss of housing, domestic violence, abandonment, and child abuse,</w:t>
      </w:r>
    </w:p>
    <w:p w14:paraId="30064FE5" w14:textId="0BDC4193" w:rsidR="00A623DA" w:rsidRPr="003C54A6" w:rsidRDefault="002D76B6" w:rsidP="002D76B6">
      <w:pPr>
        <w:pStyle w:val="SingleTxtG"/>
        <w:rPr>
          <w:iCs/>
        </w:rPr>
      </w:pPr>
      <w:r>
        <w:tab/>
      </w:r>
      <w:r>
        <w:tab/>
      </w:r>
      <w:r w:rsidR="00A623DA" w:rsidRPr="00F8671C">
        <w:rPr>
          <w:i/>
          <w:iCs/>
        </w:rPr>
        <w:t>Recognizing</w:t>
      </w:r>
      <w:r w:rsidR="00A623DA" w:rsidRPr="003C54A6">
        <w:rPr>
          <w:iCs/>
        </w:rPr>
        <w:t xml:space="preserve"> the important role that families can play in combating social exclusion, and highlighting the importance of investing in inclusive and responsive family-oriented policies and programmes in areas such as education, training, decent work, work-family balance, health care, social services, intergenerational relationships and solidarity and targeted cash transfers for vulnerable families, in order to reduce inequality and promote the well-being of all persons of all ages, as well as to contribute to better outcomes for children and other vulnerable family members in vulnerable situations and help to break the intergenerational transfer of poverty,</w:t>
      </w:r>
    </w:p>
    <w:p w14:paraId="7D33CBAB" w14:textId="50835159" w:rsidR="00A623DA" w:rsidRPr="003C54A6" w:rsidRDefault="002D76B6" w:rsidP="002D76B6">
      <w:pPr>
        <w:pStyle w:val="SingleTxtG"/>
        <w:rPr>
          <w:iCs/>
        </w:rPr>
      </w:pPr>
      <w:r>
        <w:tab/>
      </w:r>
      <w:r>
        <w:tab/>
      </w:r>
      <w:r w:rsidR="00A623DA" w:rsidRPr="00F8671C">
        <w:rPr>
          <w:i/>
          <w:iCs/>
        </w:rPr>
        <w:t>Recognizing</w:t>
      </w:r>
      <w:r w:rsidR="00A623DA" w:rsidRPr="003C54A6">
        <w:rPr>
          <w:iCs/>
        </w:rPr>
        <w:t xml:space="preserve"> that the international community faces increasing challenges posed by the negative impact of climate change, natural disasters and environmental degradation, which have exacerbated vulnerabilities and inequalities for persons in street situations, particularly in developing countries, including least developed countries and small island developing States, and stresses the need to anticipate, plan for and reduce disaster risk, and to ensure the right to an adequate standard of living is promoted and respected,</w:t>
      </w:r>
    </w:p>
    <w:p w14:paraId="47196A43" w14:textId="186981DE" w:rsidR="00A623DA" w:rsidRPr="003C54A6" w:rsidRDefault="002D76B6" w:rsidP="002D76B6">
      <w:pPr>
        <w:pStyle w:val="SingleTxtG"/>
        <w:rPr>
          <w:iCs/>
        </w:rPr>
      </w:pPr>
      <w:r>
        <w:tab/>
      </w:r>
      <w:r>
        <w:tab/>
      </w:r>
      <w:r w:rsidR="00A623DA" w:rsidRPr="00F8671C">
        <w:rPr>
          <w:i/>
          <w:iCs/>
        </w:rPr>
        <w:t>Considering</w:t>
      </w:r>
      <w:r w:rsidR="00A623DA" w:rsidRPr="003C54A6">
        <w:rPr>
          <w:iCs/>
        </w:rPr>
        <w:t xml:space="preserve"> that the complexity of this issue, in general, has not yet been properly addressed and analysed in a comprehensive, multidisciplinary and integrated manner that takes into consideration the different causes and circumstances that have led people to live on the streets as well as their particular needs,</w:t>
      </w:r>
    </w:p>
    <w:p w14:paraId="0638EFF4" w14:textId="275CC858" w:rsidR="00A623DA" w:rsidRPr="003C54A6" w:rsidRDefault="002D76B6" w:rsidP="002D76B6">
      <w:pPr>
        <w:pStyle w:val="SingleTxtG"/>
        <w:rPr>
          <w:iCs/>
        </w:rPr>
      </w:pPr>
      <w:r>
        <w:tab/>
      </w:r>
      <w:r>
        <w:tab/>
      </w:r>
      <w:r w:rsidR="00A623DA" w:rsidRPr="00F8671C">
        <w:rPr>
          <w:i/>
          <w:iCs/>
        </w:rPr>
        <w:t>Bearing in mind</w:t>
      </w:r>
      <w:r w:rsidR="00A623DA" w:rsidRPr="003C54A6">
        <w:rPr>
          <w:iCs/>
        </w:rPr>
        <w:t xml:space="preserve"> the challenges to data collection on persons in street situations and their specificities, due to the fact that census in most countries is household-based,</w:t>
      </w:r>
    </w:p>
    <w:p w14:paraId="515A17B7" w14:textId="037068A9" w:rsidR="00A623DA" w:rsidRPr="003C54A6" w:rsidRDefault="002D76B6" w:rsidP="002D76B6">
      <w:pPr>
        <w:pStyle w:val="SingleTxtG"/>
        <w:rPr>
          <w:iCs/>
        </w:rPr>
      </w:pPr>
      <w:r>
        <w:tab/>
      </w:r>
      <w:r>
        <w:tab/>
      </w:r>
      <w:r w:rsidR="00A623DA" w:rsidRPr="00F8671C">
        <w:rPr>
          <w:i/>
          <w:iCs/>
        </w:rPr>
        <w:t>Encouraging</w:t>
      </w:r>
      <w:r w:rsidR="00A623DA" w:rsidRPr="003C54A6">
        <w:rPr>
          <w:iCs/>
        </w:rPr>
        <w:t xml:space="preserve"> states to prevent and combat discrimination and violence against persons in street situations, ensure their full reintegration and participation in society, promote their social inclusion and reaffirm their inherent human dignity,</w:t>
      </w:r>
    </w:p>
    <w:p w14:paraId="084CAA8A" w14:textId="7AA07C3F" w:rsidR="00A623DA" w:rsidRPr="003C54A6" w:rsidRDefault="002D76B6" w:rsidP="002D76B6">
      <w:pPr>
        <w:pStyle w:val="SingleTxtG"/>
        <w:rPr>
          <w:iCs/>
        </w:rPr>
      </w:pPr>
      <w:r>
        <w:tab/>
      </w:r>
      <w:r>
        <w:tab/>
      </w:r>
      <w:r w:rsidR="00A623DA" w:rsidRPr="00F8671C">
        <w:rPr>
          <w:i/>
          <w:iCs/>
        </w:rPr>
        <w:t>Recognizing</w:t>
      </w:r>
      <w:r w:rsidR="00A623DA" w:rsidRPr="003C54A6">
        <w:rPr>
          <w:iCs/>
        </w:rPr>
        <w:t>, in this context, the need to take actions through a partnership between central and local governments, judicial and legislative branches, private sector, academia, research institutes, social movements, international organizations, civil society organizations, and national human rights institutions, with a view to addressing the structural drivers that lead people to live and work on the streets,</w:t>
      </w:r>
    </w:p>
    <w:p w14:paraId="0037288F" w14:textId="2A0BFF5B" w:rsidR="00A623DA" w:rsidRDefault="002D76B6" w:rsidP="002D76B6">
      <w:pPr>
        <w:pStyle w:val="SingleTxtG"/>
        <w:rPr>
          <w:iCs/>
        </w:rPr>
      </w:pPr>
      <w:r>
        <w:tab/>
      </w:r>
      <w:r>
        <w:tab/>
      </w:r>
      <w:r w:rsidR="00A623DA" w:rsidRPr="00F8671C">
        <w:rPr>
          <w:i/>
          <w:iCs/>
        </w:rPr>
        <w:t>Bearing in mind</w:t>
      </w:r>
      <w:r w:rsidR="00A623DA" w:rsidRPr="003C54A6">
        <w:rPr>
          <w:iCs/>
        </w:rPr>
        <w:t xml:space="preserve"> the rights and needs of persons in street situations, to be addressed by multiple, interdisciplinary, comprehensive and coordinated actions,</w:t>
      </w:r>
    </w:p>
    <w:p w14:paraId="3BBDE343" w14:textId="330A73D3" w:rsidR="002D76B6" w:rsidRPr="003C54A6" w:rsidRDefault="002D76B6" w:rsidP="002D76B6">
      <w:pPr>
        <w:pStyle w:val="SingleTxtG"/>
        <w:rPr>
          <w:iCs/>
        </w:rPr>
      </w:pPr>
      <w:r>
        <w:tab/>
      </w:r>
      <w:r w:rsidRPr="00614B58">
        <w:tab/>
        <w:t>1.</w:t>
      </w:r>
      <w:r>
        <w:tab/>
      </w:r>
      <w:r w:rsidRPr="00841D92">
        <w:rPr>
          <w:i/>
        </w:rPr>
        <w:t>Condemns</w:t>
      </w:r>
      <w:r w:rsidRPr="003C54A6">
        <w:rPr>
          <w:iCs/>
        </w:rPr>
        <w:t xml:space="preserve"> all forms of discrimination, stigmatization, abuse and violence against persons in street situations and calls upon States to promote and protect effectively the human rights and fundamental freedoms of persons in street situations, especially women, girls, children, older persons, persons with disabilities, and those in vulnerable situations, facing heightened risks of violence.</w:t>
      </w:r>
    </w:p>
    <w:p w14:paraId="4CE81106" w14:textId="5EDAA893" w:rsidR="002D76B6" w:rsidRPr="003C54A6" w:rsidRDefault="002D76B6" w:rsidP="002D76B6">
      <w:pPr>
        <w:spacing w:after="120"/>
        <w:ind w:left="1134" w:right="1134"/>
        <w:jc w:val="both"/>
        <w:rPr>
          <w:iCs/>
        </w:rPr>
      </w:pPr>
      <w:r>
        <w:tab/>
      </w:r>
      <w:r>
        <w:tab/>
      </w:r>
      <w:r w:rsidRPr="003C54A6">
        <w:rPr>
          <w:iCs/>
        </w:rPr>
        <w:t>2.</w:t>
      </w:r>
      <w:r>
        <w:tab/>
      </w:r>
      <w:r w:rsidRPr="00841D92">
        <w:rPr>
          <w:i/>
        </w:rPr>
        <w:t>Calls upon</w:t>
      </w:r>
      <w:r w:rsidRPr="003C54A6">
        <w:rPr>
          <w:iCs/>
        </w:rPr>
        <w:t xml:space="preserve"> States to take all necessary measures to eliminate legislation that criminalizes homelessness, and to refrain from measures that re-victimize persons in street situations and perpetuate the vicious circle of extreme poverty, in accordance with international human rights law obligations.</w:t>
      </w:r>
    </w:p>
    <w:p w14:paraId="5D54C140" w14:textId="05820412" w:rsidR="002D76B6" w:rsidRPr="003C54A6" w:rsidRDefault="002D76B6" w:rsidP="002D76B6">
      <w:pPr>
        <w:spacing w:after="120"/>
        <w:ind w:left="1134" w:right="1134"/>
        <w:jc w:val="both"/>
        <w:rPr>
          <w:iCs/>
        </w:rPr>
      </w:pPr>
      <w:r>
        <w:tab/>
      </w:r>
      <w:r>
        <w:tab/>
      </w:r>
      <w:r w:rsidRPr="003C54A6">
        <w:rPr>
          <w:iCs/>
        </w:rPr>
        <w:t>3.</w:t>
      </w:r>
      <w:r>
        <w:tab/>
      </w:r>
      <w:r w:rsidRPr="00841D92">
        <w:rPr>
          <w:i/>
        </w:rPr>
        <w:t>Calls upon</w:t>
      </w:r>
      <w:r w:rsidRPr="003C54A6">
        <w:rPr>
          <w:iCs/>
        </w:rPr>
        <w:t xml:space="preserve"> States to implement and strengthen nationally-appropriate social protection systems and measures for all, including floors, as an important contribution to preventive efforts to promote and protect the human rights of persons in street situations.</w:t>
      </w:r>
    </w:p>
    <w:p w14:paraId="1F7060C1" w14:textId="67E2D2E5" w:rsidR="002D76B6" w:rsidRPr="003C54A6" w:rsidRDefault="002D76B6" w:rsidP="002D76B6">
      <w:pPr>
        <w:spacing w:after="120"/>
        <w:ind w:left="1134" w:right="1134"/>
        <w:jc w:val="both"/>
        <w:rPr>
          <w:iCs/>
        </w:rPr>
      </w:pPr>
      <w:r>
        <w:tab/>
      </w:r>
      <w:r>
        <w:tab/>
      </w:r>
      <w:r w:rsidRPr="003C54A6">
        <w:rPr>
          <w:iCs/>
        </w:rPr>
        <w:t>4.</w:t>
      </w:r>
      <w:r>
        <w:tab/>
      </w:r>
      <w:r w:rsidRPr="00841D92">
        <w:rPr>
          <w:i/>
        </w:rPr>
        <w:t>Encourages</w:t>
      </w:r>
      <w:r w:rsidRPr="003C54A6">
        <w:rPr>
          <w:iCs/>
        </w:rPr>
        <w:t xml:space="preserve"> States to promote broad technical discussions, as appropriate, in order to seek a definition of persons in street situations; and debate on new census methods to better understand the complexity, different profiles, circumstances and needs of persons in street situations.</w:t>
      </w:r>
    </w:p>
    <w:p w14:paraId="367C9546" w14:textId="03C1896A" w:rsidR="00841D92" w:rsidRDefault="002D76B6" w:rsidP="002D76B6">
      <w:pPr>
        <w:spacing w:after="120"/>
        <w:ind w:left="1134" w:right="1134"/>
        <w:jc w:val="both"/>
        <w:rPr>
          <w:iCs/>
        </w:rPr>
      </w:pPr>
      <w:r>
        <w:tab/>
      </w:r>
      <w:r>
        <w:tab/>
      </w:r>
      <w:r w:rsidRPr="003C54A6">
        <w:rPr>
          <w:iCs/>
        </w:rPr>
        <w:t>5.</w:t>
      </w:r>
      <w:r>
        <w:tab/>
      </w:r>
      <w:r w:rsidRPr="00841D92">
        <w:rPr>
          <w:i/>
        </w:rPr>
        <w:t>Also encourages</w:t>
      </w:r>
      <w:r w:rsidRPr="003C54A6">
        <w:rPr>
          <w:iCs/>
        </w:rPr>
        <w:t xml:space="preserve"> States, in accordance with their domestic legislation and national capacities and international human rights law, to consider elaborating or implementing multiple, comprehensive, interdisciplinary and coordinated programs that are aimed at addressing the needs of persons in street situations, such as:</w:t>
      </w:r>
    </w:p>
    <w:p w14:paraId="2B22CD3D" w14:textId="42B0A8C6" w:rsidR="002D76B6" w:rsidRPr="003C54A6" w:rsidRDefault="00841D92" w:rsidP="00841D92">
      <w:pPr>
        <w:spacing w:after="120"/>
        <w:ind w:left="1134" w:right="1134"/>
        <w:jc w:val="both"/>
        <w:rPr>
          <w:iCs/>
        </w:rPr>
      </w:pPr>
      <w:r w:rsidRPr="00A1711C">
        <w:tab/>
      </w:r>
      <w:r w:rsidRPr="00A1711C">
        <w:tab/>
        <w:t>(a)</w:t>
      </w:r>
      <w:r w:rsidRPr="00A1711C">
        <w:tab/>
      </w:r>
      <w:r w:rsidR="002D76B6" w:rsidRPr="003C54A6">
        <w:rPr>
          <w:iCs/>
        </w:rPr>
        <w:t xml:space="preserve">adequate housing programs, including housing-led approaches to address homelessness; </w:t>
      </w:r>
    </w:p>
    <w:p w14:paraId="71287054" w14:textId="18F18A24" w:rsidR="002D76B6" w:rsidRPr="003C54A6" w:rsidRDefault="00841D92" w:rsidP="002D76B6">
      <w:pPr>
        <w:spacing w:after="120"/>
        <w:ind w:left="1134" w:right="1134"/>
        <w:jc w:val="both"/>
        <w:rPr>
          <w:iCs/>
        </w:rPr>
      </w:pPr>
      <w:r w:rsidRPr="00A1711C">
        <w:tab/>
      </w:r>
      <w:r w:rsidRPr="00A1711C">
        <w:tab/>
        <w:t>(</w:t>
      </w:r>
      <w:r>
        <w:t>b</w:t>
      </w:r>
      <w:r w:rsidRPr="00A1711C">
        <w:t>)</w:t>
      </w:r>
      <w:r w:rsidRPr="00A1711C">
        <w:tab/>
      </w:r>
      <w:r w:rsidR="002D76B6" w:rsidRPr="003C54A6">
        <w:rPr>
          <w:iCs/>
        </w:rPr>
        <w:t xml:space="preserve">social protection systems, including child protection systems, and food security measures; </w:t>
      </w:r>
    </w:p>
    <w:p w14:paraId="376A382F" w14:textId="0072B840" w:rsidR="002D76B6" w:rsidRPr="003C54A6" w:rsidRDefault="002D76B6" w:rsidP="00841D92">
      <w:pPr>
        <w:spacing w:after="120"/>
        <w:ind w:left="1134" w:right="1134" w:firstLine="567"/>
        <w:jc w:val="both"/>
        <w:rPr>
          <w:iCs/>
        </w:rPr>
      </w:pPr>
      <w:r w:rsidRPr="003C54A6">
        <w:rPr>
          <w:iCs/>
        </w:rPr>
        <w:t>(c)</w:t>
      </w:r>
      <w:r w:rsidR="00841D92">
        <w:rPr>
          <w:iCs/>
        </w:rPr>
        <w:tab/>
      </w:r>
      <w:r w:rsidRPr="003C54A6">
        <w:rPr>
          <w:iCs/>
        </w:rPr>
        <w:t xml:space="preserve">physical and psychosocial health care services; </w:t>
      </w:r>
    </w:p>
    <w:p w14:paraId="00FA2BAF" w14:textId="164A5E2F" w:rsidR="002D76B6" w:rsidRPr="003C54A6" w:rsidRDefault="002D76B6" w:rsidP="00841D92">
      <w:pPr>
        <w:spacing w:after="120"/>
        <w:ind w:left="1134" w:right="1134" w:firstLine="567"/>
        <w:jc w:val="both"/>
        <w:rPr>
          <w:iCs/>
        </w:rPr>
      </w:pPr>
      <w:r w:rsidRPr="003C54A6">
        <w:rPr>
          <w:iCs/>
        </w:rPr>
        <w:t>(d)</w:t>
      </w:r>
      <w:r w:rsidR="00841D92">
        <w:rPr>
          <w:iCs/>
        </w:rPr>
        <w:tab/>
      </w:r>
      <w:r w:rsidRPr="003C54A6">
        <w:rPr>
          <w:iCs/>
        </w:rPr>
        <w:t xml:space="preserve">programs for the issuing of civil registration or citizenship documents to ensure access to public services, legal aid, and justice; </w:t>
      </w:r>
    </w:p>
    <w:p w14:paraId="186A8C6D" w14:textId="6BCFA9EC" w:rsidR="002D76B6" w:rsidRPr="003C54A6" w:rsidRDefault="002D76B6" w:rsidP="00841D92">
      <w:pPr>
        <w:spacing w:after="120"/>
        <w:ind w:left="1134" w:right="1134" w:firstLine="567"/>
        <w:jc w:val="both"/>
        <w:rPr>
          <w:iCs/>
        </w:rPr>
      </w:pPr>
      <w:r w:rsidRPr="003C54A6">
        <w:rPr>
          <w:iCs/>
        </w:rPr>
        <w:t>(e)</w:t>
      </w:r>
      <w:r w:rsidR="00841D92">
        <w:rPr>
          <w:iCs/>
        </w:rPr>
        <w:tab/>
      </w:r>
      <w:r w:rsidRPr="003C54A6">
        <w:rPr>
          <w:iCs/>
        </w:rPr>
        <w:t xml:space="preserve">the building of shelters and facilities for personal care and storage of belongings; </w:t>
      </w:r>
    </w:p>
    <w:p w14:paraId="4A99FFC0" w14:textId="35F407D9" w:rsidR="002D76B6" w:rsidRPr="003C54A6" w:rsidRDefault="002D76B6" w:rsidP="00841D92">
      <w:pPr>
        <w:spacing w:after="120"/>
        <w:ind w:left="1134" w:right="1134" w:firstLine="567"/>
        <w:jc w:val="both"/>
        <w:rPr>
          <w:iCs/>
        </w:rPr>
      </w:pPr>
      <w:r w:rsidRPr="003C54A6">
        <w:rPr>
          <w:iCs/>
        </w:rPr>
        <w:t>(f)</w:t>
      </w:r>
      <w:r w:rsidR="00841D92">
        <w:rPr>
          <w:iCs/>
        </w:rPr>
        <w:tab/>
      </w:r>
      <w:r w:rsidRPr="003C54A6">
        <w:rPr>
          <w:iCs/>
        </w:rPr>
        <w:t>combating institutional and structural discrimination, violence and stigmatization against persons in street situations by promoting respect for human rights in society as a whole and mainly among law enforcement officials;</w:t>
      </w:r>
    </w:p>
    <w:p w14:paraId="10F5390A" w14:textId="76CD0C78" w:rsidR="002D76B6" w:rsidRPr="003C54A6" w:rsidRDefault="002D76B6" w:rsidP="00841D92">
      <w:pPr>
        <w:spacing w:after="120"/>
        <w:ind w:left="1134" w:right="1134" w:firstLine="567"/>
        <w:jc w:val="both"/>
        <w:rPr>
          <w:iCs/>
        </w:rPr>
      </w:pPr>
      <w:r w:rsidRPr="003C54A6">
        <w:rPr>
          <w:iCs/>
        </w:rPr>
        <w:t>(g)</w:t>
      </w:r>
      <w:r w:rsidR="00841D92">
        <w:rPr>
          <w:iCs/>
        </w:rPr>
        <w:tab/>
      </w:r>
      <w:r w:rsidRPr="003C54A6">
        <w:rPr>
          <w:iCs/>
        </w:rPr>
        <w:t xml:space="preserve">educational and cultural facilities, sports venues, leisure locations and community integration programs, and access to education; </w:t>
      </w:r>
    </w:p>
    <w:p w14:paraId="2A99ECFB" w14:textId="2C4C7610" w:rsidR="002D76B6" w:rsidRPr="003C54A6" w:rsidRDefault="002D76B6" w:rsidP="00841D92">
      <w:pPr>
        <w:spacing w:after="120"/>
        <w:ind w:left="1134" w:right="1134" w:firstLine="567"/>
        <w:jc w:val="both"/>
        <w:rPr>
          <w:iCs/>
        </w:rPr>
      </w:pPr>
      <w:r w:rsidRPr="003C54A6">
        <w:rPr>
          <w:iCs/>
        </w:rPr>
        <w:t>(h)</w:t>
      </w:r>
      <w:r w:rsidR="00841D92">
        <w:rPr>
          <w:iCs/>
        </w:rPr>
        <w:tab/>
      </w:r>
      <w:r w:rsidRPr="003C54A6">
        <w:rPr>
          <w:iCs/>
        </w:rPr>
        <w:t xml:space="preserve">opportunities of income generation, decent work and formal jobs, including by professional training, entrepreneurship and/or participation in cooperatives of solidarity economy; </w:t>
      </w:r>
    </w:p>
    <w:p w14:paraId="6E25236F" w14:textId="776A0A43" w:rsidR="002D76B6" w:rsidRPr="003C54A6" w:rsidRDefault="002D76B6" w:rsidP="00841D92">
      <w:pPr>
        <w:spacing w:after="120"/>
        <w:ind w:left="1134" w:right="1134" w:firstLine="567"/>
        <w:jc w:val="both"/>
        <w:rPr>
          <w:iCs/>
        </w:rPr>
      </w:pPr>
      <w:r w:rsidRPr="003C54A6">
        <w:rPr>
          <w:iCs/>
        </w:rPr>
        <w:t>(i)</w:t>
      </w:r>
      <w:r w:rsidR="00841D92">
        <w:rPr>
          <w:iCs/>
        </w:rPr>
        <w:tab/>
      </w:r>
      <w:r w:rsidRPr="003C54A6">
        <w:rPr>
          <w:iCs/>
        </w:rPr>
        <w:t>the carrying out of a population census and of other surveys to collect disaggregated data by sex, age, nationality, migration status, race, ethnicity, disability, religion, and culture, in order to design and implement polices to different groups and profiles;</w:t>
      </w:r>
    </w:p>
    <w:p w14:paraId="21CD59C1" w14:textId="5C2DA9DF" w:rsidR="002D76B6" w:rsidRPr="003C54A6" w:rsidRDefault="002D76B6" w:rsidP="00841D92">
      <w:pPr>
        <w:spacing w:after="120"/>
        <w:ind w:left="1134" w:right="1134" w:firstLine="567"/>
        <w:jc w:val="both"/>
        <w:rPr>
          <w:iCs/>
        </w:rPr>
      </w:pPr>
      <w:r w:rsidRPr="003C54A6">
        <w:rPr>
          <w:iCs/>
        </w:rPr>
        <w:t>(j)</w:t>
      </w:r>
      <w:r w:rsidR="00841D92">
        <w:rPr>
          <w:iCs/>
        </w:rPr>
        <w:tab/>
      </w:r>
      <w:r w:rsidRPr="003C54A6">
        <w:rPr>
          <w:iCs/>
        </w:rPr>
        <w:t>integrate persons in street situations into national policies on disaster risk reduction, climate resilience and housing reconstruction strategies, particularly in disaster-prone and climate-vulnerable regions.</w:t>
      </w:r>
    </w:p>
    <w:p w14:paraId="34BA8049" w14:textId="32C16267" w:rsidR="002D76B6" w:rsidRPr="003C54A6" w:rsidRDefault="002D76B6" w:rsidP="002D76B6">
      <w:pPr>
        <w:spacing w:after="120"/>
        <w:ind w:left="1134" w:right="1134"/>
        <w:jc w:val="both"/>
        <w:rPr>
          <w:iCs/>
        </w:rPr>
      </w:pPr>
      <w:r>
        <w:tab/>
      </w:r>
      <w:r>
        <w:tab/>
      </w:r>
      <w:r w:rsidRPr="003C54A6">
        <w:rPr>
          <w:iCs/>
        </w:rPr>
        <w:t>6.</w:t>
      </w:r>
      <w:r>
        <w:tab/>
      </w:r>
      <w:r w:rsidRPr="00841D92">
        <w:rPr>
          <w:i/>
        </w:rPr>
        <w:t>Invites</w:t>
      </w:r>
      <w:r w:rsidRPr="003C54A6">
        <w:rPr>
          <w:iCs/>
        </w:rPr>
        <w:t xml:space="preserve"> States to share lessons learned and best practices on actions to address the rights and needs of persons in street situations, with a view to advance further discussions on the subject in the Human Rights Council.</w:t>
      </w:r>
    </w:p>
    <w:p w14:paraId="0EDADD6E" w14:textId="3FE8DA6A" w:rsidR="002D76B6" w:rsidRPr="003C54A6" w:rsidRDefault="002D76B6" w:rsidP="002D76B6">
      <w:pPr>
        <w:spacing w:after="120"/>
        <w:ind w:left="1134" w:right="1134"/>
        <w:jc w:val="both"/>
        <w:rPr>
          <w:iCs/>
        </w:rPr>
      </w:pPr>
      <w:r>
        <w:tab/>
      </w:r>
      <w:r>
        <w:tab/>
      </w:r>
      <w:r w:rsidRPr="003C54A6">
        <w:rPr>
          <w:iCs/>
        </w:rPr>
        <w:t>7.</w:t>
      </w:r>
      <w:r>
        <w:tab/>
      </w:r>
      <w:r w:rsidRPr="00841D92">
        <w:rPr>
          <w:i/>
        </w:rPr>
        <w:t>Encourages</w:t>
      </w:r>
      <w:r w:rsidRPr="003C54A6">
        <w:rPr>
          <w:iCs/>
        </w:rPr>
        <w:t xml:space="preserve"> the Office of the United Nations High Commissioner for Human Rights to take into consideration the rights of persons in street situations in its technical assistance, capacity building activities and advisory services.</w:t>
      </w:r>
    </w:p>
    <w:p w14:paraId="3841B5B5" w14:textId="3FEE0039" w:rsidR="002D76B6" w:rsidRPr="003C54A6" w:rsidRDefault="002D76B6" w:rsidP="00E516E7">
      <w:pPr>
        <w:spacing w:after="120"/>
        <w:ind w:left="1134" w:right="1134"/>
        <w:jc w:val="both"/>
        <w:rPr>
          <w:iCs/>
        </w:rPr>
      </w:pPr>
      <w:r>
        <w:tab/>
      </w:r>
      <w:r>
        <w:tab/>
      </w:r>
      <w:r w:rsidRPr="003C54A6">
        <w:rPr>
          <w:iCs/>
        </w:rPr>
        <w:t>8.</w:t>
      </w:r>
      <w:r>
        <w:tab/>
      </w:r>
      <w:r w:rsidRPr="00841D92">
        <w:rPr>
          <w:i/>
        </w:rPr>
        <w:t>Encourages</w:t>
      </w:r>
      <w:r w:rsidRPr="003C54A6">
        <w:rPr>
          <w:iCs/>
        </w:rPr>
        <w:t xml:space="preserve"> the human rights treaty bodies and the special procedures of the Human Rights Council to address the rights of persons in street situations in their debates, reports and works, bearing in mind the complexity of the phenomenon and the need to address it in a multidisciplinary approach.</w:t>
      </w:r>
    </w:p>
    <w:p w14:paraId="4BE4C562" w14:textId="697E43F6" w:rsidR="002D76B6" w:rsidRPr="003C54A6" w:rsidRDefault="002D76B6" w:rsidP="002D76B6">
      <w:pPr>
        <w:spacing w:after="120"/>
        <w:ind w:left="1134" w:right="1134"/>
        <w:jc w:val="both"/>
        <w:rPr>
          <w:iCs/>
        </w:rPr>
      </w:pPr>
      <w:r>
        <w:tab/>
      </w:r>
      <w:r>
        <w:tab/>
      </w:r>
      <w:r w:rsidRPr="003C54A6">
        <w:rPr>
          <w:iCs/>
        </w:rPr>
        <w:t>9.</w:t>
      </w:r>
      <w:r>
        <w:tab/>
      </w:r>
      <w:r w:rsidRPr="00841D92">
        <w:rPr>
          <w:i/>
        </w:rPr>
        <w:t>Reaffirms</w:t>
      </w:r>
      <w:r w:rsidRPr="003C54A6">
        <w:rPr>
          <w:iCs/>
        </w:rPr>
        <w:t xml:space="preserve"> that international cooperation has an essential role in assisting developing countries, including the least developed countries and small island developing States, in strengthening their human, institutional and technological capacity to fulfil human rights for all.</w:t>
      </w:r>
    </w:p>
    <w:p w14:paraId="0130D67A" w14:textId="773FE698" w:rsidR="002D76B6" w:rsidRPr="003C54A6" w:rsidRDefault="002D76B6" w:rsidP="002D76B6">
      <w:pPr>
        <w:spacing w:after="120"/>
        <w:ind w:left="1134" w:right="1134"/>
        <w:jc w:val="both"/>
        <w:rPr>
          <w:iCs/>
        </w:rPr>
      </w:pPr>
      <w:r>
        <w:tab/>
      </w:r>
      <w:r>
        <w:tab/>
      </w:r>
      <w:r w:rsidRPr="003C54A6">
        <w:rPr>
          <w:iCs/>
        </w:rPr>
        <w:t>10.</w:t>
      </w:r>
      <w:r>
        <w:tab/>
      </w:r>
      <w:r w:rsidRPr="00841D92">
        <w:rPr>
          <w:i/>
        </w:rPr>
        <w:t>Decides</w:t>
      </w:r>
      <w:r w:rsidRPr="003C54A6">
        <w:rPr>
          <w:iCs/>
        </w:rPr>
        <w:t xml:space="preserve"> to continue the consideration of this matter under the same agenda item, in accordance with the Human Rights Council progra</w:t>
      </w:r>
      <w:r w:rsidRPr="003C54A6">
        <w:rPr>
          <w:iCs/>
          <w:shd w:val="clear" w:color="auto" w:fill="FFFFFF"/>
        </w:rPr>
        <w:t>mme of work.</w:t>
      </w:r>
    </w:p>
    <w:p w14:paraId="79BC5EB4" w14:textId="49A0BDC4" w:rsidR="00CF586F" w:rsidRDefault="00CF586F" w:rsidP="002D76B6">
      <w:pPr>
        <w:pStyle w:val="SingleTxtG"/>
      </w:pPr>
    </w:p>
    <w:bookmarkEnd w:id="0"/>
    <w:p w14:paraId="03676011" w14:textId="4B5360DB" w:rsidR="0063482B" w:rsidRPr="0063482B" w:rsidRDefault="0063482B" w:rsidP="0063482B">
      <w:pPr>
        <w:pStyle w:val="SingleTxtG"/>
        <w:spacing w:before="240" w:after="0"/>
        <w:jc w:val="center"/>
        <w:rPr>
          <w:u w:val="single"/>
        </w:rPr>
      </w:pPr>
      <w:r>
        <w:rPr>
          <w:u w:val="single"/>
        </w:rPr>
        <w:tab/>
      </w:r>
      <w:r>
        <w:rPr>
          <w:u w:val="single"/>
        </w:rPr>
        <w:tab/>
      </w:r>
      <w:r>
        <w:rPr>
          <w:u w:val="single"/>
        </w:rPr>
        <w:tab/>
      </w:r>
      <w:r w:rsidR="00EF1450">
        <w:rPr>
          <w:u w:val="single"/>
        </w:rPr>
        <w:tab/>
      </w:r>
    </w:p>
    <w:sectPr w:rsidR="0063482B" w:rsidRPr="0063482B" w:rsidSect="009F21A9">
      <w:footerReference w:type="even" r:id="rId11"/>
      <w:footerReference w:type="defaul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575C6" w14:textId="77777777" w:rsidR="00CC216D" w:rsidRDefault="00CC216D"/>
  </w:endnote>
  <w:endnote w:type="continuationSeparator" w:id="0">
    <w:p w14:paraId="038EDC35" w14:textId="77777777" w:rsidR="00CC216D" w:rsidRDefault="00CC216D"/>
  </w:endnote>
  <w:endnote w:type="continuationNotice" w:id="1">
    <w:p w14:paraId="67891F45" w14:textId="77777777" w:rsidR="00CC216D" w:rsidRDefault="00CC2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8DE8" w14:textId="77777777" w:rsidR="009F21A9" w:rsidRPr="009F21A9" w:rsidRDefault="009F21A9" w:rsidP="009F21A9">
    <w:pPr>
      <w:pStyle w:val="Footer"/>
      <w:tabs>
        <w:tab w:val="right" w:pos="9638"/>
      </w:tabs>
      <w:rPr>
        <w:sz w:val="18"/>
      </w:rPr>
    </w:pPr>
    <w:r w:rsidRPr="009F21A9">
      <w:rPr>
        <w:b/>
        <w:sz w:val="18"/>
      </w:rPr>
      <w:fldChar w:fldCharType="begin"/>
    </w:r>
    <w:r w:rsidRPr="009F21A9">
      <w:rPr>
        <w:b/>
        <w:sz w:val="18"/>
      </w:rPr>
      <w:instrText xml:space="preserve"> PAGE  \* MERGEFORMAT </w:instrText>
    </w:r>
    <w:r w:rsidRPr="009F21A9">
      <w:rPr>
        <w:b/>
        <w:sz w:val="18"/>
      </w:rPr>
      <w:fldChar w:fldCharType="separate"/>
    </w:r>
    <w:r w:rsidR="00C83B5B">
      <w:rPr>
        <w:b/>
        <w:noProof/>
        <w:sz w:val="18"/>
      </w:rPr>
      <w:t>2</w:t>
    </w:r>
    <w:r w:rsidRPr="009F21A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17AD" w14:textId="77777777" w:rsidR="009F21A9" w:rsidRPr="009F21A9" w:rsidRDefault="009F21A9" w:rsidP="009F21A9">
    <w:pPr>
      <w:pStyle w:val="Footer"/>
      <w:tabs>
        <w:tab w:val="right" w:pos="9638"/>
      </w:tabs>
      <w:rPr>
        <w:b/>
        <w:sz w:val="18"/>
      </w:rPr>
    </w:pPr>
    <w:r>
      <w:tab/>
    </w:r>
    <w:r w:rsidRPr="009F21A9">
      <w:rPr>
        <w:b/>
        <w:sz w:val="18"/>
      </w:rPr>
      <w:fldChar w:fldCharType="begin"/>
    </w:r>
    <w:r w:rsidRPr="009F21A9">
      <w:rPr>
        <w:b/>
        <w:sz w:val="18"/>
      </w:rPr>
      <w:instrText xml:space="preserve"> PAGE  \* MERGEFORMAT </w:instrText>
    </w:r>
    <w:r w:rsidRPr="009F21A9">
      <w:rPr>
        <w:b/>
        <w:sz w:val="18"/>
      </w:rPr>
      <w:fldChar w:fldCharType="separate"/>
    </w:r>
    <w:r w:rsidR="00C83B5B">
      <w:rPr>
        <w:b/>
        <w:noProof/>
        <w:sz w:val="18"/>
      </w:rPr>
      <w:t>3</w:t>
    </w:r>
    <w:r w:rsidRPr="009F21A9">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2B8D5" w14:textId="77777777" w:rsidR="00CC216D" w:rsidRPr="000B175B" w:rsidRDefault="00CC216D" w:rsidP="000B175B">
      <w:pPr>
        <w:tabs>
          <w:tab w:val="right" w:pos="2155"/>
        </w:tabs>
        <w:spacing w:after="80"/>
        <w:ind w:left="680"/>
        <w:rPr>
          <w:u w:val="single"/>
        </w:rPr>
      </w:pPr>
      <w:r>
        <w:rPr>
          <w:u w:val="single"/>
        </w:rPr>
        <w:tab/>
      </w:r>
    </w:p>
  </w:footnote>
  <w:footnote w:type="continuationSeparator" w:id="0">
    <w:p w14:paraId="7FAAFEA4" w14:textId="77777777" w:rsidR="00CC216D" w:rsidRPr="00FC68B7" w:rsidRDefault="00CC216D" w:rsidP="00FC68B7">
      <w:pPr>
        <w:tabs>
          <w:tab w:val="left" w:pos="2155"/>
        </w:tabs>
        <w:spacing w:after="80"/>
        <w:ind w:left="680"/>
        <w:rPr>
          <w:u w:val="single"/>
        </w:rPr>
      </w:pPr>
      <w:r>
        <w:rPr>
          <w:u w:val="single"/>
        </w:rPr>
        <w:tab/>
      </w:r>
    </w:p>
  </w:footnote>
  <w:footnote w:type="continuationNotice" w:id="1">
    <w:p w14:paraId="077EEA03" w14:textId="77777777" w:rsidR="00CC216D" w:rsidRDefault="00CC216D"/>
  </w:footnote>
  <w:footnote w:id="2">
    <w:p w14:paraId="41F4FB25" w14:textId="77777777" w:rsidR="00A623DA" w:rsidRPr="00A85C65" w:rsidRDefault="00A623DA" w:rsidP="00A623DA">
      <w:pPr>
        <w:pStyle w:val="FootnoteText"/>
        <w:rPr>
          <w:lang w:val="en-US"/>
        </w:rPr>
      </w:pPr>
      <w:r w:rsidRPr="00A85C65">
        <w:rPr>
          <w:rStyle w:val="FootnoteReference"/>
        </w:rPr>
        <w:footnoteRef/>
      </w:r>
      <w:r w:rsidRPr="00A85C65">
        <w:t xml:space="preserve"> </w:t>
      </w:r>
      <w:r w:rsidRPr="00A85C65">
        <w:rPr>
          <w:shd w:val="clear" w:color="auto" w:fill="FFFFFF"/>
        </w:rPr>
        <w:t>A/HRC/56/61/Add.3</w:t>
      </w:r>
    </w:p>
  </w:footnote>
  <w:footnote w:id="3">
    <w:p w14:paraId="6E53896A" w14:textId="77777777" w:rsidR="00A623DA" w:rsidRPr="00A85C65" w:rsidRDefault="00A623DA" w:rsidP="00A623DA">
      <w:pPr>
        <w:pStyle w:val="FootnoteText"/>
      </w:pPr>
      <w:r w:rsidRPr="00A85C65">
        <w:rPr>
          <w:rStyle w:val="FootnoteReference"/>
        </w:rPr>
        <w:footnoteRef/>
      </w:r>
      <w:r w:rsidRPr="00A85C65">
        <w:t xml:space="preserve"> </w:t>
      </w:r>
      <w:r w:rsidRPr="00A85C65">
        <w:rPr>
          <w:shd w:val="clear" w:color="auto" w:fill="FFFFFF"/>
        </w:rPr>
        <w:t>A/80/316</w:t>
      </w:r>
    </w:p>
  </w:footnote>
  <w:footnote w:id="4">
    <w:p w14:paraId="15CB9295" w14:textId="77777777" w:rsidR="00A623DA" w:rsidRPr="00A85C65" w:rsidRDefault="00A623DA" w:rsidP="00A623DA">
      <w:pPr>
        <w:pStyle w:val="FootnoteText"/>
        <w:rPr>
          <w:lang w:val="en-US"/>
        </w:rPr>
      </w:pPr>
      <w:r w:rsidRPr="00A85C65">
        <w:rPr>
          <w:rStyle w:val="FootnoteReference"/>
        </w:rPr>
        <w:footnoteRef/>
      </w:r>
      <w:r w:rsidRPr="00A85C65">
        <w:t xml:space="preserve"> </w:t>
      </w:r>
      <w:r w:rsidRPr="00A85C65">
        <w:rPr>
          <w:shd w:val="clear" w:color="auto" w:fill="FFFFFF"/>
        </w:rPr>
        <w:t>A/HRC/19/35</w:t>
      </w:r>
    </w:p>
  </w:footnote>
  <w:footnote w:id="5">
    <w:p w14:paraId="3DC32756" w14:textId="77777777" w:rsidR="00A623DA" w:rsidRPr="00A85C65" w:rsidRDefault="00A623DA" w:rsidP="00A623DA">
      <w:pPr>
        <w:pStyle w:val="FootnoteText"/>
        <w:rPr>
          <w:lang w:val="en-US"/>
        </w:rPr>
      </w:pPr>
      <w:r w:rsidRPr="00A85C65">
        <w:rPr>
          <w:rStyle w:val="FootnoteReference"/>
        </w:rPr>
        <w:footnoteRef/>
      </w:r>
      <w:r w:rsidRPr="00A85C65">
        <w:t xml:space="preserve"> </w:t>
      </w:r>
      <w:hyperlink r:id="rId1" w:history="1">
        <w:r w:rsidRPr="00A85C65">
          <w:rPr>
            <w:shd w:val="clear" w:color="auto" w:fill="FFFFFF"/>
          </w:rPr>
          <w:t>A/80/113</w:t>
        </w:r>
      </w:hyperlink>
    </w:p>
  </w:footnote>
  <w:footnote w:id="6">
    <w:p w14:paraId="02C8D37B" w14:textId="77777777" w:rsidR="00A623DA" w:rsidRPr="00A85C65" w:rsidRDefault="00A623DA" w:rsidP="00A623DA">
      <w:pPr>
        <w:pStyle w:val="FootnoteText"/>
        <w:rPr>
          <w:lang w:val="en-US"/>
        </w:rPr>
      </w:pPr>
      <w:r w:rsidRPr="00A85C65">
        <w:rPr>
          <w:rStyle w:val="FootnoteReference"/>
        </w:rPr>
        <w:footnoteRef/>
      </w:r>
      <w:r w:rsidRPr="00A85C65">
        <w:t xml:space="preserve"> </w:t>
      </w:r>
      <w:r w:rsidRPr="00A85C65">
        <w:rPr>
          <w:shd w:val="clear" w:color="auto" w:fill="FFFFFF"/>
        </w:rPr>
        <w:t>A/HRC/RES/21/11</w:t>
      </w:r>
    </w:p>
  </w:footnote>
  <w:footnote w:id="7">
    <w:p w14:paraId="6D65C2DD" w14:textId="77777777" w:rsidR="00A623DA" w:rsidRPr="00A85C65" w:rsidRDefault="00A623DA" w:rsidP="00A623DA">
      <w:pPr>
        <w:pStyle w:val="FootnoteText"/>
        <w:rPr>
          <w:lang w:val="en-US"/>
        </w:rPr>
      </w:pPr>
      <w:r w:rsidRPr="00A85C65">
        <w:rPr>
          <w:rStyle w:val="FootnoteReference"/>
        </w:rPr>
        <w:footnoteRef/>
      </w:r>
      <w:r w:rsidRPr="00A85C65">
        <w:t xml:space="preserve"> </w:t>
      </w:r>
      <w:r w:rsidRPr="00A85C65">
        <w:rPr>
          <w:shd w:val="clear" w:color="auto" w:fill="FFFFFF"/>
        </w:rPr>
        <w:t>A/HRC/43/43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96449859">
    <w:abstractNumId w:val="5"/>
  </w:num>
  <w:num w:numId="2" w16cid:durableId="980235381">
    <w:abstractNumId w:val="4"/>
  </w:num>
  <w:num w:numId="3" w16cid:durableId="1959217716">
    <w:abstractNumId w:val="7"/>
  </w:num>
  <w:num w:numId="4" w16cid:durableId="1719157760">
    <w:abstractNumId w:val="3"/>
  </w:num>
  <w:num w:numId="5" w16cid:durableId="980039451">
    <w:abstractNumId w:val="0"/>
  </w:num>
  <w:num w:numId="6" w16cid:durableId="189608519">
    <w:abstractNumId w:val="1"/>
  </w:num>
  <w:num w:numId="7" w16cid:durableId="162167949">
    <w:abstractNumId w:val="6"/>
  </w:num>
  <w:num w:numId="8" w16cid:durableId="11584186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pt-BR"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1A9"/>
    <w:rsid w:val="00007F7F"/>
    <w:rsid w:val="000106E7"/>
    <w:rsid w:val="00022DB5"/>
    <w:rsid w:val="00023DA3"/>
    <w:rsid w:val="000403D1"/>
    <w:rsid w:val="000449AA"/>
    <w:rsid w:val="00050F6B"/>
    <w:rsid w:val="0005662A"/>
    <w:rsid w:val="00072C8C"/>
    <w:rsid w:val="00073E70"/>
    <w:rsid w:val="000876EB"/>
    <w:rsid w:val="00091419"/>
    <w:rsid w:val="000931C0"/>
    <w:rsid w:val="00095DDF"/>
    <w:rsid w:val="000A62FF"/>
    <w:rsid w:val="000B175B"/>
    <w:rsid w:val="000B2851"/>
    <w:rsid w:val="000B3A0F"/>
    <w:rsid w:val="000B3C6B"/>
    <w:rsid w:val="000B4A3B"/>
    <w:rsid w:val="000B7222"/>
    <w:rsid w:val="000C59D8"/>
    <w:rsid w:val="000D1851"/>
    <w:rsid w:val="000D55F2"/>
    <w:rsid w:val="000E0415"/>
    <w:rsid w:val="00100D07"/>
    <w:rsid w:val="00111E25"/>
    <w:rsid w:val="0011287B"/>
    <w:rsid w:val="00146D32"/>
    <w:rsid w:val="001509BA"/>
    <w:rsid w:val="001917C8"/>
    <w:rsid w:val="001B1B17"/>
    <w:rsid w:val="001B4B04"/>
    <w:rsid w:val="001C6663"/>
    <w:rsid w:val="001C7895"/>
    <w:rsid w:val="001D26DF"/>
    <w:rsid w:val="001E2790"/>
    <w:rsid w:val="001F328C"/>
    <w:rsid w:val="0020184A"/>
    <w:rsid w:val="00211E0B"/>
    <w:rsid w:val="00211E72"/>
    <w:rsid w:val="002131A4"/>
    <w:rsid w:val="00214047"/>
    <w:rsid w:val="0022130F"/>
    <w:rsid w:val="00233D92"/>
    <w:rsid w:val="00235A1D"/>
    <w:rsid w:val="00237785"/>
    <w:rsid w:val="002410DD"/>
    <w:rsid w:val="00241466"/>
    <w:rsid w:val="00253D58"/>
    <w:rsid w:val="00257D4E"/>
    <w:rsid w:val="00264200"/>
    <w:rsid w:val="002718BF"/>
    <w:rsid w:val="0027725F"/>
    <w:rsid w:val="00281C36"/>
    <w:rsid w:val="00283092"/>
    <w:rsid w:val="002A7BAB"/>
    <w:rsid w:val="002C21F0"/>
    <w:rsid w:val="002C2E7A"/>
    <w:rsid w:val="002D415F"/>
    <w:rsid w:val="002D76B6"/>
    <w:rsid w:val="002F3DAE"/>
    <w:rsid w:val="003001D0"/>
    <w:rsid w:val="00303E1A"/>
    <w:rsid w:val="003107FA"/>
    <w:rsid w:val="003229D8"/>
    <w:rsid w:val="00331299"/>
    <w:rsid w:val="003314D1"/>
    <w:rsid w:val="003351EC"/>
    <w:rsid w:val="00335A2F"/>
    <w:rsid w:val="00341937"/>
    <w:rsid w:val="00354699"/>
    <w:rsid w:val="00365BD3"/>
    <w:rsid w:val="00382FA7"/>
    <w:rsid w:val="00386306"/>
    <w:rsid w:val="00391213"/>
    <w:rsid w:val="0039277A"/>
    <w:rsid w:val="003972E0"/>
    <w:rsid w:val="003975ED"/>
    <w:rsid w:val="003C275E"/>
    <w:rsid w:val="003C2CC4"/>
    <w:rsid w:val="003D4B23"/>
    <w:rsid w:val="003F1EC8"/>
    <w:rsid w:val="003F4910"/>
    <w:rsid w:val="00400A21"/>
    <w:rsid w:val="00424C80"/>
    <w:rsid w:val="004325CB"/>
    <w:rsid w:val="00440734"/>
    <w:rsid w:val="0044503A"/>
    <w:rsid w:val="00446DE4"/>
    <w:rsid w:val="00447761"/>
    <w:rsid w:val="00451EC3"/>
    <w:rsid w:val="00470FE4"/>
    <w:rsid w:val="00471B7C"/>
    <w:rsid w:val="004721B1"/>
    <w:rsid w:val="004859EC"/>
    <w:rsid w:val="00496A15"/>
    <w:rsid w:val="004B1046"/>
    <w:rsid w:val="004B4375"/>
    <w:rsid w:val="004B75D2"/>
    <w:rsid w:val="004D1140"/>
    <w:rsid w:val="004F55ED"/>
    <w:rsid w:val="005015E2"/>
    <w:rsid w:val="0052176C"/>
    <w:rsid w:val="005261E5"/>
    <w:rsid w:val="005420F2"/>
    <w:rsid w:val="00542574"/>
    <w:rsid w:val="005436AB"/>
    <w:rsid w:val="00546924"/>
    <w:rsid w:val="00546DBF"/>
    <w:rsid w:val="00553D76"/>
    <w:rsid w:val="005552B5"/>
    <w:rsid w:val="0056117B"/>
    <w:rsid w:val="00562621"/>
    <w:rsid w:val="00571365"/>
    <w:rsid w:val="005858F0"/>
    <w:rsid w:val="00586C92"/>
    <w:rsid w:val="005A0E16"/>
    <w:rsid w:val="005A7994"/>
    <w:rsid w:val="005A7BE5"/>
    <w:rsid w:val="005B3DB3"/>
    <w:rsid w:val="005B6E48"/>
    <w:rsid w:val="005C1037"/>
    <w:rsid w:val="005D50B7"/>
    <w:rsid w:val="005D53BE"/>
    <w:rsid w:val="005E1712"/>
    <w:rsid w:val="005F5749"/>
    <w:rsid w:val="006029FE"/>
    <w:rsid w:val="00611FC4"/>
    <w:rsid w:val="00614B58"/>
    <w:rsid w:val="006176FB"/>
    <w:rsid w:val="006254A8"/>
    <w:rsid w:val="0063482B"/>
    <w:rsid w:val="006404E7"/>
    <w:rsid w:val="00640B26"/>
    <w:rsid w:val="00641263"/>
    <w:rsid w:val="00642765"/>
    <w:rsid w:val="006436E7"/>
    <w:rsid w:val="00655B60"/>
    <w:rsid w:val="00670741"/>
    <w:rsid w:val="00677B87"/>
    <w:rsid w:val="00685310"/>
    <w:rsid w:val="00696BD6"/>
    <w:rsid w:val="006A6B9D"/>
    <w:rsid w:val="006A7392"/>
    <w:rsid w:val="006A7747"/>
    <w:rsid w:val="006B3189"/>
    <w:rsid w:val="006B7D65"/>
    <w:rsid w:val="006D6DA6"/>
    <w:rsid w:val="006E564B"/>
    <w:rsid w:val="006F0A8A"/>
    <w:rsid w:val="006F13F0"/>
    <w:rsid w:val="006F5035"/>
    <w:rsid w:val="006F7576"/>
    <w:rsid w:val="007065EB"/>
    <w:rsid w:val="00706F06"/>
    <w:rsid w:val="00720183"/>
    <w:rsid w:val="007231E4"/>
    <w:rsid w:val="0072632A"/>
    <w:rsid w:val="0074200B"/>
    <w:rsid w:val="0075306E"/>
    <w:rsid w:val="00777DED"/>
    <w:rsid w:val="007A6296"/>
    <w:rsid w:val="007A79E4"/>
    <w:rsid w:val="007B019C"/>
    <w:rsid w:val="007B0B83"/>
    <w:rsid w:val="007B6BA5"/>
    <w:rsid w:val="007C1B62"/>
    <w:rsid w:val="007C3390"/>
    <w:rsid w:val="007C4F4B"/>
    <w:rsid w:val="007C78A8"/>
    <w:rsid w:val="007D2CDC"/>
    <w:rsid w:val="007D5327"/>
    <w:rsid w:val="007E3094"/>
    <w:rsid w:val="007F6611"/>
    <w:rsid w:val="00806552"/>
    <w:rsid w:val="008155C3"/>
    <w:rsid w:val="008175E9"/>
    <w:rsid w:val="0082243E"/>
    <w:rsid w:val="008242D7"/>
    <w:rsid w:val="00826633"/>
    <w:rsid w:val="00841932"/>
    <w:rsid w:val="00841D92"/>
    <w:rsid w:val="00847417"/>
    <w:rsid w:val="00856CD2"/>
    <w:rsid w:val="00861BC6"/>
    <w:rsid w:val="00871FD5"/>
    <w:rsid w:val="00875374"/>
    <w:rsid w:val="008847BB"/>
    <w:rsid w:val="008923A8"/>
    <w:rsid w:val="008979B1"/>
    <w:rsid w:val="008A6B25"/>
    <w:rsid w:val="008A6C4F"/>
    <w:rsid w:val="008B062F"/>
    <w:rsid w:val="008C1E4D"/>
    <w:rsid w:val="008C2B09"/>
    <w:rsid w:val="008E0E46"/>
    <w:rsid w:val="00901F89"/>
    <w:rsid w:val="0090452C"/>
    <w:rsid w:val="009051D7"/>
    <w:rsid w:val="00907C3F"/>
    <w:rsid w:val="0092237C"/>
    <w:rsid w:val="0093707B"/>
    <w:rsid w:val="009400EB"/>
    <w:rsid w:val="009427E3"/>
    <w:rsid w:val="00946575"/>
    <w:rsid w:val="00956D9B"/>
    <w:rsid w:val="00963CBA"/>
    <w:rsid w:val="009654B7"/>
    <w:rsid w:val="00991261"/>
    <w:rsid w:val="00992570"/>
    <w:rsid w:val="009A0B83"/>
    <w:rsid w:val="009B3800"/>
    <w:rsid w:val="009C474A"/>
    <w:rsid w:val="009D22AC"/>
    <w:rsid w:val="009D50DB"/>
    <w:rsid w:val="009E1C4E"/>
    <w:rsid w:val="009F21A9"/>
    <w:rsid w:val="009F4C3B"/>
    <w:rsid w:val="00A0036A"/>
    <w:rsid w:val="00A05E0B"/>
    <w:rsid w:val="00A10464"/>
    <w:rsid w:val="00A1427D"/>
    <w:rsid w:val="00A14D27"/>
    <w:rsid w:val="00A40704"/>
    <w:rsid w:val="00A4634F"/>
    <w:rsid w:val="00A51CF3"/>
    <w:rsid w:val="00A54CBB"/>
    <w:rsid w:val="00A623DA"/>
    <w:rsid w:val="00A62944"/>
    <w:rsid w:val="00A71C56"/>
    <w:rsid w:val="00A72F22"/>
    <w:rsid w:val="00A73D32"/>
    <w:rsid w:val="00A748A6"/>
    <w:rsid w:val="00A879A4"/>
    <w:rsid w:val="00A87E95"/>
    <w:rsid w:val="00A92E29"/>
    <w:rsid w:val="00A92EFB"/>
    <w:rsid w:val="00AA4EE3"/>
    <w:rsid w:val="00AB66C7"/>
    <w:rsid w:val="00AC5AE2"/>
    <w:rsid w:val="00AD09E9"/>
    <w:rsid w:val="00AE2C0B"/>
    <w:rsid w:val="00AE43E2"/>
    <w:rsid w:val="00AE717A"/>
    <w:rsid w:val="00AF0576"/>
    <w:rsid w:val="00AF3829"/>
    <w:rsid w:val="00B037F0"/>
    <w:rsid w:val="00B150B6"/>
    <w:rsid w:val="00B2327D"/>
    <w:rsid w:val="00B2718F"/>
    <w:rsid w:val="00B30179"/>
    <w:rsid w:val="00B3317B"/>
    <w:rsid w:val="00B334DC"/>
    <w:rsid w:val="00B3631A"/>
    <w:rsid w:val="00B40455"/>
    <w:rsid w:val="00B53013"/>
    <w:rsid w:val="00B54F50"/>
    <w:rsid w:val="00B60619"/>
    <w:rsid w:val="00B67F5E"/>
    <w:rsid w:val="00B73E65"/>
    <w:rsid w:val="00B75148"/>
    <w:rsid w:val="00B81E12"/>
    <w:rsid w:val="00B87110"/>
    <w:rsid w:val="00B90C81"/>
    <w:rsid w:val="00B97FA8"/>
    <w:rsid w:val="00BB4B1F"/>
    <w:rsid w:val="00BC1385"/>
    <w:rsid w:val="00BC74E9"/>
    <w:rsid w:val="00BE22EF"/>
    <w:rsid w:val="00BE618E"/>
    <w:rsid w:val="00BE655C"/>
    <w:rsid w:val="00BE7402"/>
    <w:rsid w:val="00BF68F7"/>
    <w:rsid w:val="00C217E7"/>
    <w:rsid w:val="00C24693"/>
    <w:rsid w:val="00C35F0B"/>
    <w:rsid w:val="00C463DD"/>
    <w:rsid w:val="00C617C6"/>
    <w:rsid w:val="00C64458"/>
    <w:rsid w:val="00C745C3"/>
    <w:rsid w:val="00C83B5B"/>
    <w:rsid w:val="00C95D7D"/>
    <w:rsid w:val="00C97D3A"/>
    <w:rsid w:val="00CA2A58"/>
    <w:rsid w:val="00CB4BF9"/>
    <w:rsid w:val="00CC0B55"/>
    <w:rsid w:val="00CC12BA"/>
    <w:rsid w:val="00CC216D"/>
    <w:rsid w:val="00CD6995"/>
    <w:rsid w:val="00CE4A8F"/>
    <w:rsid w:val="00CF0214"/>
    <w:rsid w:val="00CF5384"/>
    <w:rsid w:val="00CF586F"/>
    <w:rsid w:val="00CF7D43"/>
    <w:rsid w:val="00D11129"/>
    <w:rsid w:val="00D2031B"/>
    <w:rsid w:val="00D22332"/>
    <w:rsid w:val="00D25FE2"/>
    <w:rsid w:val="00D27CBF"/>
    <w:rsid w:val="00D34E1A"/>
    <w:rsid w:val="00D43252"/>
    <w:rsid w:val="00D464B4"/>
    <w:rsid w:val="00D550F9"/>
    <w:rsid w:val="00D572B0"/>
    <w:rsid w:val="00D62E90"/>
    <w:rsid w:val="00D76BE5"/>
    <w:rsid w:val="00D978C6"/>
    <w:rsid w:val="00DA67AD"/>
    <w:rsid w:val="00DB18CE"/>
    <w:rsid w:val="00DB4D5C"/>
    <w:rsid w:val="00DB5566"/>
    <w:rsid w:val="00DD3C3C"/>
    <w:rsid w:val="00DE3EC0"/>
    <w:rsid w:val="00E0440E"/>
    <w:rsid w:val="00E11593"/>
    <w:rsid w:val="00E12B6B"/>
    <w:rsid w:val="00E130AB"/>
    <w:rsid w:val="00E438D9"/>
    <w:rsid w:val="00E516E7"/>
    <w:rsid w:val="00E51AA9"/>
    <w:rsid w:val="00E537AF"/>
    <w:rsid w:val="00E558D5"/>
    <w:rsid w:val="00E5644E"/>
    <w:rsid w:val="00E5795B"/>
    <w:rsid w:val="00E6770A"/>
    <w:rsid w:val="00E7260F"/>
    <w:rsid w:val="00E806EE"/>
    <w:rsid w:val="00E96630"/>
    <w:rsid w:val="00EB0FB9"/>
    <w:rsid w:val="00ED0537"/>
    <w:rsid w:val="00ED0CA9"/>
    <w:rsid w:val="00ED5ABC"/>
    <w:rsid w:val="00ED7A2A"/>
    <w:rsid w:val="00EF0CF5"/>
    <w:rsid w:val="00EF1450"/>
    <w:rsid w:val="00EF1D7F"/>
    <w:rsid w:val="00EF5BDB"/>
    <w:rsid w:val="00F01EF0"/>
    <w:rsid w:val="00F07FD9"/>
    <w:rsid w:val="00F17EE6"/>
    <w:rsid w:val="00F23933"/>
    <w:rsid w:val="00F24119"/>
    <w:rsid w:val="00F40B8C"/>
    <w:rsid w:val="00F40E75"/>
    <w:rsid w:val="00F42CD9"/>
    <w:rsid w:val="00F52936"/>
    <w:rsid w:val="00F54083"/>
    <w:rsid w:val="00F677CB"/>
    <w:rsid w:val="00F67B04"/>
    <w:rsid w:val="00F767C5"/>
    <w:rsid w:val="00FA31CB"/>
    <w:rsid w:val="00FA7DF3"/>
    <w:rsid w:val="00FC1DF3"/>
    <w:rsid w:val="00FC68B7"/>
    <w:rsid w:val="00FD7C12"/>
    <w:rsid w:val="00FE0712"/>
    <w:rsid w:val="00FF1D6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9EEDD"/>
  <w15:docId w15:val="{6B707D92-B853-4CB5-B38C-C8351757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5858F0"/>
    <w:rPr>
      <w:lang w:eastAsia="en-US"/>
    </w:rPr>
  </w:style>
  <w:style w:type="character" w:styleId="CommentReference">
    <w:name w:val="annotation reference"/>
    <w:basedOn w:val="DefaultParagraphFont"/>
    <w:unhideWhenUsed/>
    <w:rsid w:val="00100D07"/>
    <w:rPr>
      <w:sz w:val="16"/>
      <w:szCs w:val="16"/>
    </w:rPr>
  </w:style>
  <w:style w:type="paragraph" w:styleId="CommentText">
    <w:name w:val="annotation text"/>
    <w:basedOn w:val="Normal"/>
    <w:link w:val="CommentTextChar"/>
    <w:unhideWhenUsed/>
    <w:rsid w:val="00100D07"/>
    <w:pPr>
      <w:spacing w:line="240" w:lineRule="auto"/>
    </w:pPr>
  </w:style>
  <w:style w:type="character" w:customStyle="1" w:styleId="CommentTextChar">
    <w:name w:val="Comment Text Char"/>
    <w:basedOn w:val="DefaultParagraphFont"/>
    <w:link w:val="CommentText"/>
    <w:rsid w:val="00100D07"/>
    <w:rPr>
      <w:lang w:eastAsia="en-US"/>
    </w:rPr>
  </w:style>
  <w:style w:type="paragraph" w:styleId="CommentSubject">
    <w:name w:val="annotation subject"/>
    <w:basedOn w:val="CommentText"/>
    <w:next w:val="CommentText"/>
    <w:link w:val="CommentSubjectChar"/>
    <w:semiHidden/>
    <w:unhideWhenUsed/>
    <w:rsid w:val="00100D07"/>
    <w:rPr>
      <w:b/>
      <w:bCs/>
    </w:rPr>
  </w:style>
  <w:style w:type="character" w:customStyle="1" w:styleId="CommentSubjectChar">
    <w:name w:val="Comment Subject Char"/>
    <w:basedOn w:val="CommentTextChar"/>
    <w:link w:val="CommentSubject"/>
    <w:semiHidden/>
    <w:rsid w:val="00100D07"/>
    <w:rPr>
      <w:b/>
      <w:bCs/>
      <w:lang w:eastAsia="en-US"/>
    </w:rPr>
  </w:style>
  <w:style w:type="paragraph" w:styleId="BodyText">
    <w:name w:val="Body Text"/>
    <w:basedOn w:val="Normal"/>
    <w:link w:val="BodyTextChar"/>
    <w:unhideWhenUsed/>
    <w:rsid w:val="005C1037"/>
    <w:rPr>
      <w:b/>
    </w:rPr>
  </w:style>
  <w:style w:type="character" w:customStyle="1" w:styleId="BodyTextChar">
    <w:name w:val="Body Text Char"/>
    <w:basedOn w:val="DefaultParagraphFont"/>
    <w:link w:val="BodyText"/>
    <w:rsid w:val="005C1037"/>
    <w:rPr>
      <w:b/>
      <w:lang w:eastAsia="en-US"/>
    </w:rPr>
  </w:style>
  <w:style w:type="character" w:customStyle="1" w:styleId="FootnoteTextChar">
    <w:name w:val="Footnote Text Char"/>
    <w:aliases w:val="5_G Char"/>
    <w:basedOn w:val="DefaultParagraphFont"/>
    <w:link w:val="FootnoteText"/>
    <w:uiPriority w:val="99"/>
    <w:rsid w:val="00A623DA"/>
    <w:rPr>
      <w:sz w:val="18"/>
      <w:lang w:eastAsia="en-US"/>
    </w:rPr>
  </w:style>
  <w:style w:type="paragraph" w:styleId="BlockText">
    <w:name w:val="Block Text"/>
    <w:basedOn w:val="Normal"/>
    <w:uiPriority w:val="99"/>
    <w:unhideWhenUsed/>
    <w:rsid w:val="00A623DA"/>
    <w:pPr>
      <w:spacing w:after="120"/>
      <w:ind w:left="709" w:right="1134" w:firstLine="425"/>
      <w:jc w:val="both"/>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documents/thematic-reports/a80113-child-centred-response-sexual-exploitation-children-stre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26</Symbol>
    <Order0 xmlns="6c6497fd-db5f-4dbd-a966-3f3fb54d46eb" xsi:nil="true"/>
  </documentManagement>
</p:properties>
</file>

<file path=customXml/itemProps1.xml><?xml version="1.0" encoding="utf-8"?>
<ds:datastoreItem xmlns:ds="http://schemas.openxmlformats.org/officeDocument/2006/customXml" ds:itemID="{D5809D21-A953-4A76-8F5F-C2F9FFAD2B84}">
  <ds:schemaRefs>
    <ds:schemaRef ds:uri="http://schemas.openxmlformats.org/officeDocument/2006/bibliography"/>
  </ds:schemaRefs>
</ds:datastoreItem>
</file>

<file path=customXml/itemProps2.xml><?xml version="1.0" encoding="utf-8"?>
<ds:datastoreItem xmlns:ds="http://schemas.openxmlformats.org/officeDocument/2006/customXml" ds:itemID="{6E386656-7247-458F-9210-2E6AC2104ACD}">
  <ds:schemaRefs>
    <ds:schemaRef ds:uri="http://schemas.microsoft.com/sharepoint/v3/contenttype/forms"/>
  </ds:schemaRefs>
</ds:datastoreItem>
</file>

<file path=customXml/itemProps3.xml><?xml version="1.0" encoding="utf-8"?>
<ds:datastoreItem xmlns:ds="http://schemas.openxmlformats.org/officeDocument/2006/customXml" ds:itemID="{D5C07249-6F70-4F0E-BCA1-E8E18EE39651}"/>
</file>

<file path=customXml/itemProps4.xml><?xml version="1.0" encoding="utf-8"?>
<ds:datastoreItem xmlns:ds="http://schemas.openxmlformats.org/officeDocument/2006/customXml" ds:itemID="{9863AEB7-657A-4C17-AB60-81AC10960D47}">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6</TotalTime>
  <Pages>1</Pages>
  <Words>2140</Words>
  <Characters>12199</Characters>
  <Application>Microsoft Office Word</Application>
  <DocSecurity>4</DocSecurity>
  <Lines>101</Lines>
  <Paragraphs>28</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A/HRC/RES/54/25</vt:lpstr>
      <vt:lpstr>A/HRC/RES/54/25</vt:lpstr>
      <vt:lpstr/>
    </vt:vector>
  </TitlesOfParts>
  <Company>CSD</Company>
  <LinksUpToDate>false</LinksUpToDate>
  <CharactersWithSpaces>14311</CharactersWithSpaces>
  <SharedDoc>false</SharedDoc>
  <HLinks>
    <vt:vector size="6" baseType="variant">
      <vt:variant>
        <vt:i4>1</vt:i4>
      </vt:variant>
      <vt:variant>
        <vt:i4>0</vt:i4>
      </vt:variant>
      <vt:variant>
        <vt:i4>0</vt:i4>
      </vt:variant>
      <vt:variant>
        <vt:i4>5</vt:i4>
      </vt:variant>
      <vt:variant>
        <vt:lpwstr>https://www.ohchr.org/en/documents/thematic-reports/a80113-child-centred-response-sexual-exploitation-children-street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A/HRC/RES/54/25</dc:title>
  <dc:subject>2319843</dc:subject>
  <dc:creator>Una Giltsoff</dc:creator>
  <cp:keywords/>
  <dc:description/>
  <cp:lastModifiedBy>Matias Pellado</cp:lastModifiedBy>
  <cp:revision>10</cp:revision>
  <cp:lastPrinted>2025-09-12T20:02:00Z</cp:lastPrinted>
  <dcterms:created xsi:type="dcterms:W3CDTF">2026-03-18T17:40:00Z</dcterms:created>
  <dcterms:modified xsi:type="dcterms:W3CDTF">2026-03-18T09:45:00Z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MediaServiceImageTags">
    <vt:lpwstr/>
  </property>
</Properties>
</file>