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76CAF" w14:textId="64B3C986" w:rsidR="00F70B9E" w:rsidRPr="00D56639" w:rsidRDefault="00F70B9E" w:rsidP="00F70B9E">
      <w:pPr>
        <w:suppressAutoHyphens w:val="0"/>
        <w:autoSpaceDN w:val="0"/>
        <w:spacing w:line="240" w:lineRule="auto"/>
        <w:rPr>
          <w:b/>
          <w:color w:val="0000CC"/>
          <w:sz w:val="24"/>
          <w:szCs w:val="24"/>
          <w:lang w:val="en-US"/>
        </w:rPr>
      </w:pPr>
      <w:r w:rsidRPr="00D56639">
        <w:rPr>
          <w:b/>
          <w:color w:val="0000CC"/>
          <w:sz w:val="24"/>
          <w:szCs w:val="24"/>
          <w:lang w:val="en-US"/>
        </w:rPr>
        <w:t>A/HRC/61/L.2</w:t>
      </w:r>
      <w:r>
        <w:rPr>
          <w:b/>
          <w:color w:val="0000CC"/>
          <w:sz w:val="24"/>
          <w:szCs w:val="24"/>
          <w:lang w:val="en-US"/>
        </w:rPr>
        <w:t>5</w:t>
      </w:r>
    </w:p>
    <w:p w14:paraId="69F14286" w14:textId="1D5AC298" w:rsidR="00F70B9E" w:rsidRPr="00D56639" w:rsidRDefault="00F70B9E" w:rsidP="00F70B9E">
      <w:pPr>
        <w:suppressAutoHyphens w:val="0"/>
        <w:autoSpaceDN w:val="0"/>
        <w:spacing w:line="240" w:lineRule="auto"/>
        <w:rPr>
          <w:b/>
          <w:color w:val="0000CC"/>
          <w:sz w:val="24"/>
          <w:szCs w:val="24"/>
          <w:lang w:val="en-US"/>
        </w:rPr>
      </w:pPr>
      <w:r w:rsidRPr="00D56639">
        <w:rPr>
          <w:b/>
          <w:color w:val="0000CC"/>
          <w:sz w:val="24"/>
          <w:szCs w:val="24"/>
          <w:lang w:val="en-US"/>
        </w:rPr>
        <w:t xml:space="preserve">Item </w:t>
      </w:r>
      <w:r>
        <w:rPr>
          <w:b/>
          <w:color w:val="0000CC"/>
          <w:sz w:val="24"/>
          <w:szCs w:val="24"/>
          <w:lang w:val="en-US"/>
        </w:rPr>
        <w:t>2</w:t>
      </w:r>
    </w:p>
    <w:p w14:paraId="6791FD6C" w14:textId="5C2CA52F" w:rsidR="00F70B9E" w:rsidRPr="00D56639" w:rsidRDefault="00F70B9E" w:rsidP="00F70B9E">
      <w:pPr>
        <w:suppressAutoHyphens w:val="0"/>
        <w:autoSpaceDN w:val="0"/>
        <w:spacing w:line="240" w:lineRule="auto"/>
        <w:rPr>
          <w:b/>
          <w:color w:val="0000CC"/>
          <w:sz w:val="24"/>
          <w:szCs w:val="24"/>
          <w:lang w:val="en-US"/>
        </w:rPr>
      </w:pPr>
      <w:r w:rsidRPr="00D56639">
        <w:rPr>
          <w:b/>
          <w:color w:val="0000CC"/>
          <w:sz w:val="24"/>
          <w:szCs w:val="24"/>
          <w:lang w:val="en-US"/>
        </w:rPr>
        <w:t xml:space="preserve">Received from (main sponsors): </w:t>
      </w:r>
      <w:r w:rsidR="00427F8A" w:rsidRPr="00727ACE">
        <w:rPr>
          <w:b/>
          <w:bCs/>
          <w:color w:val="0000CC"/>
          <w:sz w:val="24"/>
          <w:szCs w:val="24"/>
          <w:lang w:bidi="en-US"/>
        </w:rPr>
        <w:t>United Kingdom</w:t>
      </w:r>
      <w:r w:rsidR="00427F8A">
        <w:rPr>
          <w:b/>
          <w:bCs/>
          <w:color w:val="0000CC"/>
          <w:sz w:val="24"/>
          <w:szCs w:val="24"/>
          <w:lang w:bidi="en-US"/>
        </w:rPr>
        <w:t xml:space="preserve"> </w:t>
      </w:r>
      <w:r w:rsidR="00727ACE">
        <w:rPr>
          <w:b/>
          <w:bCs/>
          <w:color w:val="0000CC"/>
          <w:sz w:val="24"/>
          <w:szCs w:val="24"/>
          <w:lang w:bidi="en-US"/>
        </w:rPr>
        <w:t>of Great Britain and Northern Ireland</w:t>
      </w:r>
      <w:r w:rsidR="00727ACE" w:rsidRPr="00727ACE">
        <w:rPr>
          <w:b/>
          <w:bCs/>
          <w:color w:val="0000CC"/>
          <w:sz w:val="24"/>
          <w:szCs w:val="24"/>
          <w:lang w:bidi="en-US"/>
        </w:rPr>
        <w:t xml:space="preserve">, France, Germany, Netherlands (Kingdom </w:t>
      </w:r>
      <w:r w:rsidR="00727ACE">
        <w:rPr>
          <w:b/>
          <w:bCs/>
          <w:color w:val="0000CC"/>
          <w:sz w:val="24"/>
          <w:szCs w:val="24"/>
          <w:lang w:bidi="en-US"/>
        </w:rPr>
        <w:t>o</w:t>
      </w:r>
      <w:r w:rsidR="00727ACE" w:rsidRPr="00727ACE">
        <w:rPr>
          <w:b/>
          <w:bCs/>
          <w:color w:val="0000CC"/>
          <w:sz w:val="24"/>
          <w:szCs w:val="24"/>
          <w:lang w:bidi="en-US"/>
        </w:rPr>
        <w:t xml:space="preserve">f </w:t>
      </w:r>
      <w:r w:rsidR="00727ACE">
        <w:rPr>
          <w:b/>
          <w:bCs/>
          <w:color w:val="0000CC"/>
          <w:sz w:val="24"/>
          <w:szCs w:val="24"/>
          <w:lang w:bidi="en-US"/>
        </w:rPr>
        <w:t>t</w:t>
      </w:r>
      <w:r w:rsidR="00727ACE" w:rsidRPr="00727ACE">
        <w:rPr>
          <w:b/>
          <w:bCs/>
          <w:color w:val="0000CC"/>
          <w:sz w:val="24"/>
          <w:szCs w:val="24"/>
          <w:lang w:bidi="en-US"/>
        </w:rPr>
        <w:t>he), Qatar, Türkiy</w:t>
      </w:r>
      <w:r w:rsidR="00727ACE">
        <w:rPr>
          <w:b/>
          <w:bCs/>
          <w:color w:val="0000CC"/>
          <w:sz w:val="24"/>
          <w:szCs w:val="24"/>
          <w:lang w:bidi="en-US"/>
        </w:rPr>
        <w:t>e</w:t>
      </w:r>
    </w:p>
    <w:p w14:paraId="66B403E7" w14:textId="71A600D1" w:rsidR="00F70B9E" w:rsidRPr="00D56639" w:rsidRDefault="00F70B9E" w:rsidP="00F70B9E">
      <w:pPr>
        <w:suppressAutoHyphens w:val="0"/>
        <w:autoSpaceDN w:val="0"/>
        <w:spacing w:line="240" w:lineRule="auto"/>
        <w:rPr>
          <w:b/>
          <w:color w:val="0000CC"/>
          <w:sz w:val="24"/>
          <w:szCs w:val="24"/>
          <w:lang w:val="en-US"/>
        </w:rPr>
      </w:pPr>
      <w:r w:rsidRPr="00D56639">
        <w:rPr>
          <w:b/>
          <w:color w:val="0000CC"/>
          <w:sz w:val="24"/>
          <w:szCs w:val="24"/>
          <w:lang w:val="en-US"/>
        </w:rPr>
        <w:t xml:space="preserve">Date and time: 17/03/2026, </w:t>
      </w:r>
      <w:r>
        <w:rPr>
          <w:b/>
          <w:color w:val="0000CC"/>
          <w:sz w:val="24"/>
          <w:szCs w:val="24"/>
          <w:lang w:val="en-US"/>
        </w:rPr>
        <w:t>16</w:t>
      </w:r>
      <w:r w:rsidRPr="00D56639">
        <w:rPr>
          <w:b/>
          <w:color w:val="0000CC"/>
          <w:sz w:val="24"/>
          <w:szCs w:val="24"/>
          <w:lang w:val="en-US"/>
        </w:rPr>
        <w:t>:</w:t>
      </w:r>
      <w:r w:rsidR="00427F8A">
        <w:rPr>
          <w:b/>
          <w:color w:val="0000CC"/>
          <w:sz w:val="24"/>
          <w:szCs w:val="24"/>
          <w:lang w:val="en-US"/>
        </w:rPr>
        <w:t>51</w:t>
      </w:r>
    </w:p>
    <w:p w14:paraId="2306B5CC" w14:textId="77777777" w:rsidR="00F70B9E" w:rsidRPr="00D56639" w:rsidRDefault="00F70B9E" w:rsidP="00F70B9E">
      <w:pPr>
        <w:suppressAutoHyphens w:val="0"/>
        <w:autoSpaceDN w:val="0"/>
        <w:spacing w:line="240" w:lineRule="auto"/>
        <w:rPr>
          <w:b/>
          <w:color w:val="0000CC"/>
          <w:sz w:val="24"/>
          <w:szCs w:val="24"/>
          <w:lang w:val="en-US"/>
        </w:rPr>
      </w:pPr>
      <w:r w:rsidRPr="00D56639">
        <w:rPr>
          <w:b/>
          <w:color w:val="0000CC"/>
          <w:sz w:val="24"/>
          <w:szCs w:val="24"/>
          <w:lang w:val="en-US"/>
        </w:rPr>
        <w:t>Initials: MP</w:t>
      </w:r>
    </w:p>
    <w:p w14:paraId="537916C5" w14:textId="57E14B68" w:rsidR="00F70B9E" w:rsidRPr="00D56639" w:rsidRDefault="00F70B9E" w:rsidP="00F70B9E">
      <w:pPr>
        <w:suppressAutoHyphens w:val="0"/>
        <w:autoSpaceDN w:val="0"/>
        <w:spacing w:line="240" w:lineRule="auto"/>
        <w:rPr>
          <w:b/>
          <w:color w:val="0000CC"/>
          <w:sz w:val="24"/>
          <w:szCs w:val="24"/>
          <w:lang w:val="en-US"/>
        </w:rPr>
      </w:pPr>
      <w:r w:rsidRPr="00D56639">
        <w:rPr>
          <w:b/>
          <w:color w:val="0000CC"/>
          <w:sz w:val="24"/>
          <w:szCs w:val="24"/>
          <w:lang w:val="en-US"/>
        </w:rPr>
        <w:t xml:space="preserve">Page 1 of </w:t>
      </w:r>
      <w:r w:rsidR="00427F8A">
        <w:rPr>
          <w:b/>
          <w:color w:val="0000CC"/>
          <w:sz w:val="24"/>
          <w:szCs w:val="24"/>
          <w:lang w:val="en-US"/>
        </w:rPr>
        <w:t>5</w:t>
      </w:r>
    </w:p>
    <w:p w14:paraId="78013268" w14:textId="476FE589" w:rsidR="00927E57" w:rsidRPr="00597F7E" w:rsidRDefault="00F92CB8" w:rsidP="00020894">
      <w:pPr>
        <w:keepNext/>
        <w:keepLines/>
        <w:spacing w:before="360" w:after="240" w:line="270" w:lineRule="exact"/>
        <w:ind w:left="567" w:right="1134" w:firstLine="567"/>
        <w:rPr>
          <w:b/>
          <w:sz w:val="24"/>
        </w:rPr>
      </w:pPr>
      <w:r>
        <w:rPr>
          <w:b/>
          <w:sz w:val="24"/>
        </w:rPr>
        <w:t xml:space="preserve">Supporting </w:t>
      </w:r>
      <w:r w:rsidR="00457E5D" w:rsidRPr="00597F7E">
        <w:rPr>
          <w:b/>
          <w:sz w:val="24"/>
        </w:rPr>
        <w:t>human rights in the Syrian Arab Republic</w:t>
      </w:r>
    </w:p>
    <w:p w14:paraId="60F7B558" w14:textId="31C2B0A8" w:rsidR="00927E57" w:rsidRPr="00597F7E" w:rsidRDefault="00927E57" w:rsidP="00927E57">
      <w:pPr>
        <w:spacing w:after="120"/>
        <w:ind w:left="1134" w:right="1134"/>
        <w:jc w:val="both"/>
        <w:rPr>
          <w:rFonts w:eastAsia="SimSun"/>
          <w:lang w:eastAsia="hi-IN" w:bidi="hi-IN"/>
        </w:rPr>
      </w:pPr>
      <w:r w:rsidRPr="00597F7E">
        <w:rPr>
          <w:rFonts w:eastAsia="SimSun"/>
          <w:lang w:eastAsia="ar-SA"/>
        </w:rPr>
        <w:tab/>
      </w:r>
      <w:r w:rsidR="00E6574E" w:rsidRPr="00597F7E">
        <w:rPr>
          <w:rFonts w:eastAsia="SimSun"/>
          <w:lang w:eastAsia="ar-SA"/>
        </w:rPr>
        <w:tab/>
      </w:r>
      <w:r w:rsidRPr="00597F7E">
        <w:rPr>
          <w:rFonts w:eastAsia="SimSun"/>
          <w:i/>
          <w:lang w:eastAsia="hi-IN" w:bidi="hi-IN"/>
        </w:rPr>
        <w:t xml:space="preserve">The Human </w:t>
      </w:r>
      <w:r w:rsidRPr="00597F7E">
        <w:rPr>
          <w:rFonts w:eastAsia="SimSun"/>
          <w:i/>
        </w:rPr>
        <w:t>Rights</w:t>
      </w:r>
      <w:r w:rsidRPr="00597F7E">
        <w:rPr>
          <w:rFonts w:eastAsia="SimSun"/>
          <w:i/>
          <w:lang w:eastAsia="hi-IN" w:bidi="hi-IN"/>
        </w:rPr>
        <w:t xml:space="preserve"> Council</w:t>
      </w:r>
      <w:r w:rsidRPr="00597F7E">
        <w:rPr>
          <w:rFonts w:eastAsia="SimSun"/>
          <w:lang w:eastAsia="hi-IN" w:bidi="hi-IN"/>
        </w:rPr>
        <w:t>,</w:t>
      </w:r>
      <w:r w:rsidR="006F2610">
        <w:rPr>
          <w:rFonts w:eastAsia="SimSun"/>
          <w:lang w:eastAsia="hi-IN" w:bidi="hi-IN"/>
        </w:rPr>
        <w:t xml:space="preserve"> </w:t>
      </w:r>
    </w:p>
    <w:p w14:paraId="65992001" w14:textId="77777777" w:rsidR="00E6574E" w:rsidRPr="00597F7E" w:rsidRDefault="00E6574E" w:rsidP="00E6574E">
      <w:pPr>
        <w:pStyle w:val="SingleTxtG"/>
        <w:ind w:firstLine="567"/>
      </w:pPr>
      <w:r w:rsidRPr="00597F7E">
        <w:rPr>
          <w:i/>
        </w:rPr>
        <w:t xml:space="preserve">Guided </w:t>
      </w:r>
      <w:r w:rsidRPr="00597F7E">
        <w:t>by the principles and purposes of the Charter of the United Nations,</w:t>
      </w:r>
    </w:p>
    <w:p w14:paraId="3E6DAEF7" w14:textId="4D7EA2DE" w:rsidR="00E6574E" w:rsidRPr="00597F7E" w:rsidRDefault="00E6574E" w:rsidP="00E6574E">
      <w:pPr>
        <w:pStyle w:val="SingleTxtG"/>
        <w:ind w:firstLine="567"/>
      </w:pPr>
      <w:r w:rsidRPr="00597F7E">
        <w:rPr>
          <w:i/>
        </w:rPr>
        <w:t xml:space="preserve">Reaffirming </w:t>
      </w:r>
      <w:r w:rsidRPr="00597F7E">
        <w:t xml:space="preserve">its previous resolutions on the Syrian Arab Republic from 2011 to </w:t>
      </w:r>
      <w:r w:rsidR="00F92CB8">
        <w:t>April 2025</w:t>
      </w:r>
      <w:r w:rsidRPr="00597F7E">
        <w:t>,</w:t>
      </w:r>
    </w:p>
    <w:p w14:paraId="10DE0317" w14:textId="77777777" w:rsidR="00E6574E" w:rsidRPr="00E6574E" w:rsidRDefault="00E6574E" w:rsidP="00E6574E">
      <w:pPr>
        <w:pStyle w:val="SingleTxtG"/>
        <w:ind w:firstLine="567"/>
      </w:pPr>
      <w:r w:rsidRPr="00597F7E">
        <w:rPr>
          <w:i/>
        </w:rPr>
        <w:t xml:space="preserve">Reaffirming also </w:t>
      </w:r>
      <w:r w:rsidRPr="00597F7E">
        <w:t>its strong commitment to full respect for the sovereignty, independence, unity and territorial integrity of the Syrian Arab Republic,</w:t>
      </w:r>
    </w:p>
    <w:p w14:paraId="3029362A" w14:textId="0B5E1FC1" w:rsidR="00E6574E" w:rsidRDefault="00F92CB8" w:rsidP="00E6574E">
      <w:pPr>
        <w:pStyle w:val="SingleTxtG"/>
        <w:ind w:firstLine="567"/>
      </w:pPr>
      <w:r w:rsidRPr="00020894">
        <w:rPr>
          <w:i/>
          <w:iCs/>
        </w:rPr>
        <w:t>Recalling</w:t>
      </w:r>
      <w:r w:rsidRPr="001F242B">
        <w:t xml:space="preserve"> that December 2025 marked one year  since </w:t>
      </w:r>
      <w:r w:rsidR="00E6574E" w:rsidRPr="00E6574E">
        <w:t>the end of the former Syrian regime in, which had failed to meet its responsibility to protect the Syrian population and to respect, protect and fulfil the human rights of all persons within its jurisdiction, including persons in detention and their families, and to investigate allegations of war crimes as well as serious violations of international humanitarian law and international human rights law, and recalling the statements made by the Secretary-General and the United Nations High Commissioner for Human Rights that crimes against humanity and war crimes were likely to have been committed in the Syrian Arab Republic,</w:t>
      </w:r>
    </w:p>
    <w:p w14:paraId="29992E9C" w14:textId="062C7584" w:rsidR="00F92CB8" w:rsidRPr="00E6574E" w:rsidRDefault="00F92CB8" w:rsidP="00AA6547">
      <w:pPr>
        <w:pStyle w:val="SingleTxtG"/>
        <w:ind w:firstLine="567"/>
      </w:pPr>
      <w:r w:rsidRPr="00E6574E">
        <w:rPr>
          <w:i/>
          <w:iCs/>
        </w:rPr>
        <w:t xml:space="preserve">Deploring </w:t>
      </w:r>
      <w:r w:rsidRPr="00E6574E">
        <w:t>that, since 2011, the former Syrian regime</w:t>
      </w:r>
      <w:r>
        <w:t xml:space="preserve"> had </w:t>
      </w:r>
      <w:r w:rsidRPr="00E6574E">
        <w:t>consistently used arbitrary detention, torture and other cruel, inhuman or degrading treatment, including sexual and gender-based violence and enforced disappearances, and other detention-related violations</w:t>
      </w:r>
      <w:r>
        <w:t>,</w:t>
      </w:r>
      <w:r w:rsidRPr="00E6574E">
        <w:t xml:space="preserve"> to intimidate, punish and coerce perceived political opponents, dissenting civilians and their family members, in addition to summary executions, extrajudicial killings, </w:t>
      </w:r>
      <w:r>
        <w:t xml:space="preserve">the </w:t>
      </w:r>
      <w:r w:rsidRPr="00E6574E">
        <w:t>targeting of civilians and use of chemical weapons</w:t>
      </w:r>
      <w:r>
        <w:t>,</w:t>
      </w:r>
      <w:r w:rsidRPr="00E6574E">
        <w:t xml:space="preserve"> as documented </w:t>
      </w:r>
      <w:r w:rsidRPr="00874B67">
        <w:t>by the Commission of Inquiry</w:t>
      </w:r>
      <w:r w:rsidRPr="00874B67">
        <w:rPr>
          <w:rStyle w:val="FootnoteReference"/>
        </w:rPr>
        <w:footnoteReference w:id="2"/>
      </w:r>
      <w:r w:rsidRPr="00874B67">
        <w:t xml:space="preserve"> and the Office of the High Commissioner,</w:t>
      </w:r>
    </w:p>
    <w:p w14:paraId="431805D3" w14:textId="0E68B040" w:rsidR="00F92CB8" w:rsidRDefault="00F92CB8" w:rsidP="00F92CB8">
      <w:pPr>
        <w:pStyle w:val="SingleTxtG"/>
        <w:ind w:firstLine="567"/>
        <w:rPr>
          <w:i/>
          <w:iCs/>
          <w:lang w:val="en-US"/>
        </w:rPr>
      </w:pPr>
      <w:r w:rsidRPr="00F92CB8">
        <w:rPr>
          <w:i/>
          <w:iCs/>
          <w:lang w:val="en-US"/>
        </w:rPr>
        <w:t xml:space="preserve">Commending </w:t>
      </w:r>
      <w:r w:rsidRPr="00FE6524">
        <w:rPr>
          <w:lang w:val="en-US"/>
        </w:rPr>
        <w:t>the progress achieved by the Syrian Government since December 2024 and bearing in mind the significant difference in the human rights situation since the period 2011-2024,</w:t>
      </w:r>
      <w:r w:rsidRPr="00F92CB8">
        <w:rPr>
          <w:i/>
          <w:iCs/>
          <w:lang w:val="en-US"/>
        </w:rPr>
        <w:t xml:space="preserve"> </w:t>
      </w:r>
    </w:p>
    <w:p w14:paraId="18F447A1" w14:textId="3B3C379E" w:rsidR="00F92CB8" w:rsidRPr="00FE6524" w:rsidRDefault="00F92CB8" w:rsidP="00AA6547">
      <w:pPr>
        <w:pStyle w:val="SingleTxtG"/>
        <w:ind w:firstLine="567"/>
        <w:rPr>
          <w:lang w:val="en-US"/>
        </w:rPr>
      </w:pPr>
      <w:r w:rsidRPr="00F92CB8">
        <w:rPr>
          <w:i/>
          <w:iCs/>
        </w:rPr>
        <w:t>Reiterating,</w:t>
      </w:r>
      <w:r w:rsidRPr="00FE6524">
        <w:t xml:space="preserve"> as noted by the Secretary-General and High Commissioner for Human Rights that the political transition must be representative, inclusive and comprehensive, and meet the legitimate aspirations and advance the fulfilment of the human rights of all Syrian people, in all their diversity, and that failure to do so risks renewed violence, fragmentation, and prolonged instability.</w:t>
      </w:r>
      <w:r w:rsidRPr="00FE6524">
        <w:rPr>
          <w:b/>
          <w:bCs/>
          <w:lang w:val="en-US"/>
        </w:rPr>
        <w:t xml:space="preserve"> </w:t>
      </w:r>
    </w:p>
    <w:p w14:paraId="38ADCBC1" w14:textId="11E8BD4A" w:rsidR="00E6574E" w:rsidRDefault="00F92CB8" w:rsidP="00E6574E">
      <w:pPr>
        <w:pStyle w:val="SingleTxtG"/>
        <w:ind w:firstLine="567"/>
      </w:pPr>
      <w:r w:rsidRPr="001F242B">
        <w:rPr>
          <w:i/>
          <w:iCs/>
        </w:rPr>
        <w:t>Reiterating</w:t>
      </w:r>
      <w:r w:rsidRPr="001F242B">
        <w:t xml:space="preserve"> </w:t>
      </w:r>
      <w:r w:rsidR="00E6574E" w:rsidRPr="00E6574E">
        <w:t xml:space="preserve">in this regard the intervention of </w:t>
      </w:r>
      <w:r w:rsidR="00FB1AFD">
        <w:t xml:space="preserve">the </w:t>
      </w:r>
      <w:r w:rsidR="00E6574E" w:rsidRPr="00E6574E">
        <w:t xml:space="preserve">Minister of Foreign Affairs and Expatriates of the Syrian Arab Republic during the </w:t>
      </w:r>
      <w:r>
        <w:t>58th</w:t>
      </w:r>
      <w:r w:rsidRPr="00E6574E">
        <w:t xml:space="preserve"> </w:t>
      </w:r>
      <w:r w:rsidR="005E7497">
        <w:t>s</w:t>
      </w:r>
      <w:r w:rsidR="00E6574E" w:rsidRPr="00E6574E">
        <w:t xml:space="preserve">ession of the Human Rights Council, in particular </w:t>
      </w:r>
      <w:r w:rsidR="00BA4FAB">
        <w:t xml:space="preserve">the sentiment </w:t>
      </w:r>
      <w:r w:rsidR="00E6574E" w:rsidRPr="00E6574E">
        <w:t xml:space="preserve">that those governing </w:t>
      </w:r>
      <w:r w:rsidR="00741767">
        <w:t xml:space="preserve">the </w:t>
      </w:r>
      <w:r w:rsidR="00E6574E" w:rsidRPr="00E6574E">
        <w:t>Syria</w:t>
      </w:r>
      <w:r w:rsidR="00741767">
        <w:t>n Arab Republic</w:t>
      </w:r>
      <w:r w:rsidR="00E6574E" w:rsidRPr="00E6574E">
        <w:t xml:space="preserve"> bear profound responsibility to ensure that the atrocities and violations committed by the former regime are never repeated, and that the Syrian people deserve a homeland where their rights are safeguarded, their voices are heard and their dignity is preserved,</w:t>
      </w:r>
    </w:p>
    <w:p w14:paraId="7BAF54D9" w14:textId="42104A2B" w:rsidR="00F92CB8" w:rsidRPr="00E6574E" w:rsidRDefault="00F92CB8" w:rsidP="00E6574E">
      <w:pPr>
        <w:pStyle w:val="SingleTxtG"/>
        <w:ind w:firstLine="567"/>
      </w:pPr>
      <w:r w:rsidRPr="00F92CB8">
        <w:rPr>
          <w:i/>
          <w:iCs/>
          <w:lang w:val="en-US"/>
        </w:rPr>
        <w:t xml:space="preserve">Expressing </w:t>
      </w:r>
      <w:r w:rsidRPr="00FE6524">
        <w:rPr>
          <w:lang w:val="en-US"/>
        </w:rPr>
        <w:t xml:space="preserve">deep concern over the reports of serious human rights violations and abuses </w:t>
      </w:r>
      <w:r w:rsidRPr="00FE6524">
        <w:t xml:space="preserve">including alarming allegations of attacks on the civilian population since December </w:t>
      </w:r>
      <w:r w:rsidRPr="00FE6524">
        <w:lastRenderedPageBreak/>
        <w:t xml:space="preserve">2024, including in the coastal region in March 2025, in Suwayda and southern Syria in July 2025, </w:t>
      </w:r>
      <w:r w:rsidRPr="00FE6524">
        <w:rPr>
          <w:lang w:val="en-US"/>
        </w:rPr>
        <w:t>in Damascus in June 2025, in Homs in December 2025, and in Aleppo in January 2026</w:t>
      </w:r>
    </w:p>
    <w:p w14:paraId="6DBEFB0A" w14:textId="28B27FE0" w:rsidR="00E6574E" w:rsidRDefault="00F92CB8" w:rsidP="00E6574E">
      <w:pPr>
        <w:pStyle w:val="SingleTxtG"/>
        <w:ind w:firstLine="567"/>
      </w:pPr>
      <w:r w:rsidRPr="00F92CB8">
        <w:rPr>
          <w:i/>
          <w:iCs/>
          <w:lang w:val="en-US"/>
        </w:rPr>
        <w:t xml:space="preserve">Welcoming </w:t>
      </w:r>
      <w:r w:rsidRPr="00FE6524">
        <w:rPr>
          <w:lang w:val="en-US"/>
        </w:rPr>
        <w:t xml:space="preserve">the establishment of National Commissions to ensure accountability and justice </w:t>
      </w:r>
      <w:r w:rsidRPr="00FE6524">
        <w:t>as well as to clarify the fate of the missing</w:t>
      </w:r>
      <w:r w:rsidRPr="00FE6524">
        <w:rPr>
          <w:lang w:val="en-US"/>
        </w:rPr>
        <w:t>, and e</w:t>
      </w:r>
      <w:r w:rsidR="00E6574E" w:rsidRPr="00FE6524">
        <w:rPr>
          <w:lang w:val="en-US"/>
        </w:rPr>
        <w:t>mphasi</w:t>
      </w:r>
      <w:r w:rsidR="00C42717" w:rsidRPr="00FE6524">
        <w:rPr>
          <w:lang w:val="en-US"/>
        </w:rPr>
        <w:t>z</w:t>
      </w:r>
      <w:r w:rsidR="00E6574E" w:rsidRPr="00FE6524">
        <w:rPr>
          <w:lang w:val="en-US"/>
        </w:rPr>
        <w:t>ing</w:t>
      </w:r>
      <w:r w:rsidR="00E6574E" w:rsidRPr="00E6574E">
        <w:rPr>
          <w:i/>
          <w:iCs/>
          <w:lang w:val="en-US"/>
        </w:rPr>
        <w:t xml:space="preserve"> </w:t>
      </w:r>
      <w:r w:rsidR="00E6574E" w:rsidRPr="00E6574E">
        <w:rPr>
          <w:lang w:val="en-US"/>
        </w:rPr>
        <w:t xml:space="preserve">the importance of a comprehensive approach to addressing the past through transitional justice, incorporating the full range of judicial and non-judicial measures, </w:t>
      </w:r>
      <w:r w:rsidR="00E6574E" w:rsidRPr="00E6574E">
        <w:t xml:space="preserve">in order to ensure accountability, serve justice, provide victims and families with access to remedy, promote healing and reconciliation, ensure confidence in the institutions of the State and promote the rule of law </w:t>
      </w:r>
      <w:r w:rsidR="00E6574E" w:rsidRPr="00E6574E">
        <w:rPr>
          <w:lang w:val="en-US"/>
        </w:rPr>
        <w:t xml:space="preserve">in </w:t>
      </w:r>
      <w:r w:rsidR="00E6574E" w:rsidRPr="00E6574E">
        <w:t xml:space="preserve">accordance with international law, including international </w:t>
      </w:r>
      <w:r w:rsidR="00E6574E" w:rsidRPr="007C5E3B">
        <w:t>human rights law, with a view to preventing the recurrence of violations and abuses,</w:t>
      </w:r>
    </w:p>
    <w:p w14:paraId="4D7CC652" w14:textId="307C36E3" w:rsidR="00F71428" w:rsidRPr="007C5E3B" w:rsidRDefault="00F71428" w:rsidP="00AA6547">
      <w:pPr>
        <w:pStyle w:val="SingleTxtG"/>
        <w:ind w:firstLine="567"/>
      </w:pPr>
      <w:r w:rsidRPr="00E6574E">
        <w:rPr>
          <w:i/>
          <w:iCs/>
        </w:rPr>
        <w:t xml:space="preserve">Reiterating </w:t>
      </w:r>
      <w:r w:rsidRPr="004A5C00">
        <w:rPr>
          <w:i/>
          <w:iCs/>
        </w:rPr>
        <w:t xml:space="preserve">its grave concern </w:t>
      </w:r>
      <w:r w:rsidRPr="00E6574E">
        <w:t>at the findings of the Investigation and Identification Team of the Organi</w:t>
      </w:r>
      <w:r>
        <w:t>z</w:t>
      </w:r>
      <w:r w:rsidRPr="00E6574E">
        <w:t>ation for the Prohibition of Chemical Weapons attributing responsibility for multiple chemical weapons attacks to the former Syrian regime</w:t>
      </w:r>
      <w:r>
        <w:t>,</w:t>
      </w:r>
      <w:r w:rsidRPr="00E6574E">
        <w:t xml:space="preserve"> and expressing its strong conviction that all those responsible for the use of chemical weapons in </w:t>
      </w:r>
      <w:r>
        <w:t>the Syrian Arab Republic</w:t>
      </w:r>
      <w:r w:rsidRPr="00E6574E">
        <w:t xml:space="preserve"> must be held accountable,</w:t>
      </w:r>
      <w:r w:rsidR="00A53671">
        <w:t xml:space="preserve"> </w:t>
      </w:r>
      <w:r w:rsidR="00A53671" w:rsidRPr="001F242B">
        <w:t>and in this regard welcoming the commitment expressed by the Minister of Foreign Affairs and Expatriates of the Syrian Arab Republic to continue cooperation with the Organization for the Prohibition of the Chemical Weapons,</w:t>
      </w:r>
    </w:p>
    <w:p w14:paraId="715B30D3" w14:textId="7DFD7411" w:rsidR="00F71428" w:rsidRPr="00E6574E" w:rsidRDefault="00F71428" w:rsidP="00AA6547">
      <w:pPr>
        <w:pStyle w:val="SingleTxtG"/>
        <w:ind w:firstLine="567"/>
      </w:pPr>
      <w:r w:rsidRPr="00E6574E">
        <w:rPr>
          <w:i/>
          <w:iCs/>
        </w:rPr>
        <w:t>Acknowledging</w:t>
      </w:r>
      <w:r w:rsidRPr="00E6574E">
        <w:t xml:space="preserve"> the</w:t>
      </w:r>
      <w:r w:rsidRPr="00E6574E">
        <w:rPr>
          <w:i/>
          <w:iCs/>
        </w:rPr>
        <w:t xml:space="preserve"> </w:t>
      </w:r>
      <w:r w:rsidRPr="00E6574E">
        <w:t xml:space="preserve">important role of Syrian and international civil society, human rights defenders, </w:t>
      </w:r>
      <w:r>
        <w:t xml:space="preserve">independent media, </w:t>
      </w:r>
      <w:r w:rsidRPr="00E6574E">
        <w:t xml:space="preserve">victims, survivors and their families in documenting violations and abuses in </w:t>
      </w:r>
      <w:r>
        <w:t>the Syrian Arab Republic</w:t>
      </w:r>
      <w:r w:rsidRPr="00E6574E">
        <w:t xml:space="preserve"> throughout the conflict and post</w:t>
      </w:r>
      <w:r>
        <w:t>-</w:t>
      </w:r>
      <w:r w:rsidRPr="00E6574E">
        <w:t>conflict period, often at great personal risk, in pursuit of truth and accountability,</w:t>
      </w:r>
      <w:r>
        <w:t xml:space="preserve"> and </w:t>
      </w:r>
      <w:r w:rsidRPr="00E26EA3">
        <w:t>emphasizing the importance of their ongoing contribution to the transitional justice process</w:t>
      </w:r>
      <w:r>
        <w:t xml:space="preserve">, </w:t>
      </w:r>
      <w:r w:rsidRPr="00330565">
        <w:t>and recognizing that their participation is essential in achieving justice, accountability and sustainable peace, and that their full, meaningful and safe participation must be at the centre of all transitional justice efforts,</w:t>
      </w:r>
      <w:r w:rsidR="00330565">
        <w:t xml:space="preserve"> </w:t>
      </w:r>
      <w:r w:rsidR="00330565" w:rsidRPr="00330565">
        <w:t>and noting in this regard the widening of media freedoms and the regeneration of civil society activity in Syria since December 2024,</w:t>
      </w:r>
    </w:p>
    <w:p w14:paraId="08950BC5" w14:textId="74925BF0" w:rsidR="00E6574E" w:rsidRPr="00E6574E" w:rsidRDefault="00E6574E" w:rsidP="00E6574E">
      <w:pPr>
        <w:pStyle w:val="SingleTxtG"/>
        <w:ind w:firstLine="567"/>
      </w:pPr>
      <w:r w:rsidRPr="00E6574E">
        <w:rPr>
          <w:i/>
          <w:iCs/>
        </w:rPr>
        <w:t>Underscoring</w:t>
      </w:r>
      <w:r w:rsidRPr="00E6574E">
        <w:t xml:space="preserve"> the role</w:t>
      </w:r>
      <w:r w:rsidR="005D0302">
        <w:t>s</w:t>
      </w:r>
      <w:r w:rsidRPr="00E6574E">
        <w:t xml:space="preserve"> of the</w:t>
      </w:r>
      <w:bookmarkStart w:id="0" w:name="_Hlk189403178"/>
      <w:r w:rsidRPr="00E6574E">
        <w:t xml:space="preserve"> Office of the </w:t>
      </w:r>
      <w:r w:rsidR="00412C31">
        <w:t xml:space="preserve">United Nations </w:t>
      </w:r>
      <w:r w:rsidRPr="00E6574E">
        <w:t>High Commissioner for Human Rights, the International, Impartial and Independent Mechanism</w:t>
      </w:r>
      <w:bookmarkEnd w:id="0"/>
      <w:r w:rsidRPr="00E6574E">
        <w:t xml:space="preserve"> to Assist in the Investigation and Prosecution of Persons Responsible for the Most Serious Crimes under </w:t>
      </w:r>
      <w:r w:rsidRPr="00874B67">
        <w:t xml:space="preserve">International Law Committed in the Syrian Arab Republic since March 2011, </w:t>
      </w:r>
      <w:r w:rsidR="00247168" w:rsidRPr="00874B67">
        <w:t>and the</w:t>
      </w:r>
      <w:r w:rsidRPr="00874B67">
        <w:t xml:space="preserve"> Independent International Commission of Inquiry on the Syrian Arab Republic, established</w:t>
      </w:r>
      <w:r w:rsidRPr="00E6574E">
        <w:t xml:space="preserve"> by the Human Rights Council in its resolution S-17/1 of 23 August 2011, as well as that of the Independent Institution </w:t>
      </w:r>
      <w:r w:rsidR="005F7BA4">
        <w:t>on</w:t>
      </w:r>
      <w:r w:rsidR="005F7BA4" w:rsidRPr="00E6574E">
        <w:t xml:space="preserve"> </w:t>
      </w:r>
      <w:r w:rsidRPr="00E6574E">
        <w:t>Missing Persons</w:t>
      </w:r>
      <w:r w:rsidR="005F7BA4" w:rsidRPr="005F7BA4">
        <w:t xml:space="preserve"> in the Syrian Arab Republic</w:t>
      </w:r>
      <w:r w:rsidRPr="00E6574E">
        <w:t>,</w:t>
      </w:r>
    </w:p>
    <w:p w14:paraId="0863910E" w14:textId="334554AB" w:rsidR="00E6574E" w:rsidRDefault="00E6574E" w:rsidP="00E6574E">
      <w:pPr>
        <w:pStyle w:val="SingleTxtG"/>
        <w:ind w:firstLine="567"/>
        <w:rPr>
          <w:lang w:val="en-US"/>
        </w:rPr>
      </w:pPr>
      <w:r w:rsidRPr="00E6574E">
        <w:rPr>
          <w:i/>
          <w:iCs/>
          <w:lang w:val="en-US"/>
        </w:rPr>
        <w:t xml:space="preserve">Welcoming </w:t>
      </w:r>
      <w:r w:rsidRPr="00E6574E">
        <w:rPr>
          <w:lang w:val="en-US"/>
        </w:rPr>
        <w:t xml:space="preserve">the </w:t>
      </w:r>
      <w:r w:rsidR="00F71428">
        <w:rPr>
          <w:lang w:val="en-US"/>
        </w:rPr>
        <w:t xml:space="preserve">continued access </w:t>
      </w:r>
      <w:r w:rsidR="00F71428" w:rsidRPr="001F242B">
        <w:rPr>
          <w:lang w:val="en-US"/>
        </w:rPr>
        <w:t xml:space="preserve">provided by the Government of Syria </w:t>
      </w:r>
      <w:r w:rsidR="007C5E3B">
        <w:rPr>
          <w:lang w:val="en-US"/>
        </w:rPr>
        <w:t>since December 2024</w:t>
      </w:r>
      <w:r w:rsidR="00F71428">
        <w:rPr>
          <w:lang w:val="en-US"/>
        </w:rPr>
        <w:t xml:space="preserve"> to these entities</w:t>
      </w:r>
      <w:r w:rsidR="00673AD3">
        <w:rPr>
          <w:lang w:val="en-US"/>
        </w:rPr>
        <w:t xml:space="preserve"> </w:t>
      </w:r>
      <w:r w:rsidR="00673AD3" w:rsidRPr="001F242B">
        <w:rPr>
          <w:lang w:val="en-US"/>
        </w:rPr>
        <w:t xml:space="preserve">to support investigations and accountability </w:t>
      </w:r>
      <w:proofErr w:type="gramStart"/>
      <w:r w:rsidR="00673AD3" w:rsidRPr="001F242B">
        <w:rPr>
          <w:lang w:val="en-US"/>
        </w:rPr>
        <w:t xml:space="preserve">efforts, </w:t>
      </w:r>
      <w:r w:rsidR="00F71428">
        <w:rPr>
          <w:lang w:val="en-US"/>
        </w:rPr>
        <w:t xml:space="preserve"> which</w:t>
      </w:r>
      <w:proofErr w:type="gramEnd"/>
      <w:r w:rsidR="00F71428">
        <w:rPr>
          <w:lang w:val="en-US"/>
        </w:rPr>
        <w:t xml:space="preserve"> was </w:t>
      </w:r>
      <w:r w:rsidRPr="00E6574E">
        <w:rPr>
          <w:lang w:val="en-US"/>
        </w:rPr>
        <w:t xml:space="preserve">previously denied by the former regime, </w:t>
      </w:r>
    </w:p>
    <w:p w14:paraId="438C0B1D" w14:textId="6D4D536A" w:rsidR="00F71428" w:rsidRDefault="00F71428" w:rsidP="00F71428">
      <w:pPr>
        <w:pStyle w:val="SingleTxtG"/>
        <w:ind w:firstLine="567"/>
        <w:rPr>
          <w:b/>
          <w:bCs/>
        </w:rPr>
      </w:pPr>
      <w:r w:rsidRPr="004577AE">
        <w:rPr>
          <w:i/>
          <w:iCs/>
        </w:rPr>
        <w:t>Underscoring</w:t>
      </w:r>
      <w:r w:rsidRPr="004577AE">
        <w:t xml:space="preserve"> the contributions of</w:t>
      </w:r>
      <w:r w:rsidRPr="004577AE">
        <w:rPr>
          <w:b/>
          <w:bCs/>
        </w:rPr>
        <w:t xml:space="preserve"> </w:t>
      </w:r>
      <w:r w:rsidRPr="00E26EA3">
        <w:t xml:space="preserve">these entities </w:t>
      </w:r>
      <w:r w:rsidRPr="004577AE">
        <w:t>with respect to their independent and complementary mandates</w:t>
      </w:r>
      <w:r w:rsidRPr="00E26EA3">
        <w:t xml:space="preserve"> in </w:t>
      </w:r>
      <w:r w:rsidRPr="004577AE">
        <w:t>providing support to</w:t>
      </w:r>
      <w:r w:rsidRPr="00E26EA3">
        <w:t xml:space="preserve"> national efforts undertaken by the Government of Syria, including the National Commissions on Transitional Justice and Missing Persons, to ensure Syrian-led, Syrian-owned truth, justice, and accountability, also welcoming increasing access granted by the Government of Syria,</w:t>
      </w:r>
      <w:r w:rsidRPr="001F242B">
        <w:rPr>
          <w:b/>
          <w:bCs/>
        </w:rPr>
        <w:t xml:space="preserve"> </w:t>
      </w:r>
    </w:p>
    <w:p w14:paraId="7EF4C9D1" w14:textId="08A3D4DE" w:rsidR="00F71428" w:rsidRDefault="00F71428" w:rsidP="00F71428">
      <w:pPr>
        <w:pStyle w:val="SingleTxtG"/>
        <w:ind w:firstLine="567"/>
      </w:pPr>
      <w:r w:rsidRPr="001F242B">
        <w:rPr>
          <w:i/>
          <w:iCs/>
          <w:lang w:val="en-US"/>
        </w:rPr>
        <w:t>Noting</w:t>
      </w:r>
      <w:r w:rsidRPr="001F242B">
        <w:rPr>
          <w:lang w:val="en-US"/>
        </w:rPr>
        <w:t xml:space="preserve"> with concern the report</w:t>
      </w:r>
      <w:r w:rsidRPr="001F242B">
        <w:t xml:space="preserve"> by the Commission of Inquiry which documented a wave of violence since January</w:t>
      </w:r>
      <w:r>
        <w:t xml:space="preserve"> </w:t>
      </w:r>
      <w:r w:rsidRPr="00BA0C3E">
        <w:t>2025</w:t>
      </w:r>
      <w:r w:rsidRPr="001F242B">
        <w:t xml:space="preserve"> in coastal and western central Syria, including Latakia, including reports of abductions, enforced disappearances, and arbitrary detentions, and  acts that may amount to war crimes, the latter being  perpetrated by both the remnants of the previous regime and aligned militias and individuals linked to Government forces, as well as by private individuals, </w:t>
      </w:r>
      <w:r w:rsidRPr="00BA0C3E">
        <w:t>and noting the detrimental impact that such attacks have on peace and national reconciliation,</w:t>
      </w:r>
    </w:p>
    <w:p w14:paraId="07864D3D" w14:textId="47E68FF6" w:rsidR="00F71428" w:rsidRDefault="00F71428" w:rsidP="00F71428">
      <w:pPr>
        <w:pStyle w:val="SingleTxtG"/>
        <w:ind w:firstLine="567"/>
        <w:rPr>
          <w:i/>
          <w:iCs/>
          <w:lang w:val="en-US"/>
        </w:rPr>
      </w:pPr>
      <w:r w:rsidRPr="001F242B">
        <w:rPr>
          <w:i/>
          <w:iCs/>
          <w:lang w:val="en-US"/>
        </w:rPr>
        <w:t xml:space="preserve">Welcoming </w:t>
      </w:r>
      <w:r w:rsidRPr="001F242B">
        <w:rPr>
          <w:lang w:val="en-US"/>
        </w:rPr>
        <w:t xml:space="preserve">statements by the Government of Syria condemning </w:t>
      </w:r>
      <w:r w:rsidRPr="00DE41A7">
        <w:rPr>
          <w:lang w:val="en-US"/>
        </w:rPr>
        <w:t>reported</w:t>
      </w:r>
      <w:r>
        <w:rPr>
          <w:lang w:val="en-US"/>
        </w:rPr>
        <w:t xml:space="preserve"> </w:t>
      </w:r>
      <w:r w:rsidRPr="001F242B">
        <w:rPr>
          <w:lang w:val="en-US"/>
        </w:rPr>
        <w:t xml:space="preserve">human rights violations and abuses in coastal and southern regions, and initiating steps to investigate and hold accountable those responsible, including the establishment and efforts of national fact-finding commissions and pursuing criminal prosecutions, alongside granting access to the Commission of Inquiry to conduct its independent investigations, without interference, and in full conformity with its mandate; and stressing the need to end impunity for all </w:t>
      </w:r>
      <w:r w:rsidRPr="001F242B">
        <w:rPr>
          <w:lang w:val="en-US"/>
        </w:rPr>
        <w:lastRenderedPageBreak/>
        <w:t>violations and abuses, past and present, in a manner consistent with international obligations, commitments, and standards</w:t>
      </w:r>
      <w:r>
        <w:rPr>
          <w:i/>
          <w:iCs/>
          <w:lang w:val="en-US"/>
        </w:rPr>
        <w:t>,</w:t>
      </w:r>
      <w:r w:rsidRPr="001F242B">
        <w:rPr>
          <w:i/>
          <w:iCs/>
          <w:lang w:val="en-US"/>
        </w:rPr>
        <w:t xml:space="preserve"> </w:t>
      </w:r>
    </w:p>
    <w:p w14:paraId="585E878D" w14:textId="4DBA8AAA" w:rsidR="00F71428" w:rsidRPr="00E6574E" w:rsidRDefault="00F71428" w:rsidP="00AA6547">
      <w:pPr>
        <w:pStyle w:val="SingleTxtG"/>
        <w:ind w:firstLine="567"/>
      </w:pPr>
      <w:r w:rsidRPr="00E6574E">
        <w:rPr>
          <w:i/>
          <w:iCs/>
        </w:rPr>
        <w:t xml:space="preserve">Underscoring </w:t>
      </w:r>
      <w:r w:rsidRPr="00E6574E">
        <w:t>the urgent</w:t>
      </w:r>
      <w:r w:rsidRPr="00E6574E">
        <w:rPr>
          <w:i/>
          <w:iCs/>
        </w:rPr>
        <w:t xml:space="preserve"> </w:t>
      </w:r>
      <w:r w:rsidRPr="00E6574E">
        <w:t xml:space="preserve">need to preserve and secure all documentation, information and evidence related to violations and abuses of human rights, and violations of international humanitarian </w:t>
      </w:r>
      <w:r>
        <w:t>law, to</w:t>
      </w:r>
      <w:r w:rsidRPr="00E6574E">
        <w:t xml:space="preserve"> ensure Syrian-led, Syrian-owned accountability, supported by the continuation of international efforts to this end,</w:t>
      </w:r>
    </w:p>
    <w:p w14:paraId="0281A1D0" w14:textId="5B41822E" w:rsidR="00E6574E" w:rsidRPr="00E6574E" w:rsidRDefault="00E6574E" w:rsidP="00E6574E">
      <w:pPr>
        <w:pStyle w:val="SingleTxtG"/>
        <w:ind w:firstLine="567"/>
      </w:pPr>
      <w:r w:rsidRPr="00E6574E">
        <w:rPr>
          <w:i/>
          <w:iCs/>
        </w:rPr>
        <w:t xml:space="preserve">Noting </w:t>
      </w:r>
      <w:r w:rsidRPr="00E6574E">
        <w:t>that</w:t>
      </w:r>
      <w:r w:rsidR="007C5E3B">
        <w:t>,</w:t>
      </w:r>
      <w:r w:rsidRPr="00E6574E">
        <w:t xml:space="preserve"> despite the welcome release by the </w:t>
      </w:r>
      <w:r w:rsidR="00595E9F">
        <w:t xml:space="preserve">Government of </w:t>
      </w:r>
      <w:r w:rsidR="006E0A2E">
        <w:t xml:space="preserve">the </w:t>
      </w:r>
      <w:r w:rsidR="00595E9F">
        <w:t>Syria</w:t>
      </w:r>
      <w:r w:rsidR="006E0A2E">
        <w:t>n Arab Republic</w:t>
      </w:r>
      <w:r w:rsidRPr="00E6574E">
        <w:t xml:space="preserve"> of prisoners since December 2024, efforts to establish the fates and whereabouts of those who remain missing and the need to support victims, survivors and their families, including through psychosocial assistance, will continue for years to come, and that such efforts can be supported by the Independent Institution on Missing Persons in </w:t>
      </w:r>
      <w:r w:rsidR="00112EEA">
        <w:t xml:space="preserve">the </w:t>
      </w:r>
      <w:r w:rsidRPr="00E6574E">
        <w:t>Syria</w:t>
      </w:r>
      <w:r w:rsidR="00112EEA">
        <w:t>n Arab Republic</w:t>
      </w:r>
      <w:r w:rsidR="00F71428">
        <w:t xml:space="preserve"> (IIMP)</w:t>
      </w:r>
      <w:r w:rsidRPr="00E6574E">
        <w:t>,</w:t>
      </w:r>
      <w:r w:rsidR="00F71428">
        <w:t xml:space="preserve"> </w:t>
      </w:r>
      <w:r w:rsidR="00F71428" w:rsidRPr="001F242B">
        <w:rPr>
          <w:lang w:val="en-US"/>
        </w:rPr>
        <w:t>and encouraging  the continued coordination and cooperation between the Syrian National Commission for Missing Persons, Syrian and international civil society, including survivors and family associations and groups, the IIMP, and other technical experts on these efforts, and reiterating the call of the General Assembly in its resolution 77/301 for all States and other relevant actors to cooperate with the IIMP, which is humanitarian in nature</w:t>
      </w:r>
      <w:r w:rsidR="00F71428">
        <w:rPr>
          <w:lang w:val="en-US"/>
        </w:rPr>
        <w:t>,</w:t>
      </w:r>
      <w:r w:rsidR="00F71428" w:rsidRPr="001F242B">
        <w:rPr>
          <w:lang w:val="en-US"/>
        </w:rPr>
        <w:t xml:space="preserve">  </w:t>
      </w:r>
    </w:p>
    <w:p w14:paraId="3270A353" w14:textId="719D983C" w:rsidR="00E6574E" w:rsidRDefault="00E6574E" w:rsidP="00996F21">
      <w:pPr>
        <w:pStyle w:val="SingleTxtG"/>
        <w:ind w:firstLine="567"/>
      </w:pPr>
      <w:r w:rsidRPr="00E6574E">
        <w:rPr>
          <w:i/>
          <w:iCs/>
        </w:rPr>
        <w:t xml:space="preserve">Supporting </w:t>
      </w:r>
      <w:r w:rsidRPr="00E6574E">
        <w:t xml:space="preserve">efforts </w:t>
      </w:r>
      <w:r w:rsidR="007C5E3B">
        <w:t xml:space="preserve">made </w:t>
      </w:r>
      <w:r w:rsidRPr="00E6574E">
        <w:t xml:space="preserve">by the </w:t>
      </w:r>
      <w:r w:rsidR="005377FE">
        <w:t xml:space="preserve">Government of </w:t>
      </w:r>
      <w:r w:rsidR="006E0A2E">
        <w:t xml:space="preserve">the </w:t>
      </w:r>
      <w:r w:rsidR="005377FE">
        <w:t>Syria</w:t>
      </w:r>
      <w:r w:rsidR="006E0A2E">
        <w:t>n Arab Republic</w:t>
      </w:r>
      <w:r w:rsidRPr="00E6574E">
        <w:t xml:space="preserve"> </w:t>
      </w:r>
      <w:r w:rsidR="0086044B">
        <w:t>that</w:t>
      </w:r>
      <w:r w:rsidR="0086044B" w:rsidRPr="00E6574E">
        <w:t xml:space="preserve"> </w:t>
      </w:r>
      <w:r w:rsidRPr="00E6574E">
        <w:t xml:space="preserve">affirm the territorial integrity and unity of </w:t>
      </w:r>
      <w:r w:rsidR="007C5E3B">
        <w:t xml:space="preserve">the </w:t>
      </w:r>
      <w:r w:rsidRPr="00E6574E">
        <w:t>Syria</w:t>
      </w:r>
      <w:r w:rsidR="007C5E3B">
        <w:t>n Arab Republic</w:t>
      </w:r>
      <w:r w:rsidRPr="00E6574E">
        <w:t xml:space="preserve">, reject any form of division </w:t>
      </w:r>
      <w:r w:rsidR="0086044B">
        <w:t xml:space="preserve">and </w:t>
      </w:r>
      <w:r w:rsidRPr="00E6574E">
        <w:t xml:space="preserve">ensure the rights of all Syrians to representation and participation in the political process and all </w:t>
      </w:r>
      <w:r w:rsidR="0086044B">
        <w:t>S</w:t>
      </w:r>
      <w:r w:rsidRPr="00E6574E">
        <w:t xml:space="preserve">tate institutions </w:t>
      </w:r>
      <w:r w:rsidR="005D0302">
        <w:t>on the basis of</w:t>
      </w:r>
      <w:r w:rsidRPr="00E6574E">
        <w:t xml:space="preserve"> competence, regardless of their religious or ethnic background</w:t>
      </w:r>
      <w:r w:rsidR="0086044B">
        <w:t>,</w:t>
      </w:r>
      <w:r w:rsidRPr="00E6574E">
        <w:t xml:space="preserve"> and consider</w:t>
      </w:r>
      <w:r w:rsidR="000949A7">
        <w:t>ing</w:t>
      </w:r>
      <w:r w:rsidRPr="00E6574E">
        <w:t xml:space="preserve"> these endeavours important steps towards strengthening the political and civil rights of Syrians, enhancing security and stability and safeguarding the unity of </w:t>
      </w:r>
      <w:r w:rsidR="007C5E3B">
        <w:t xml:space="preserve">the </w:t>
      </w:r>
      <w:r w:rsidRPr="00E6574E">
        <w:t>Syria</w:t>
      </w:r>
      <w:r w:rsidR="007C5E3B">
        <w:t>n Arab Republic</w:t>
      </w:r>
      <w:r w:rsidRPr="00E6574E">
        <w:t xml:space="preserve"> and its territorial integrity,</w:t>
      </w:r>
    </w:p>
    <w:p w14:paraId="2D7749B2" w14:textId="434B4610" w:rsidR="00F71428" w:rsidRPr="00E6574E" w:rsidRDefault="00F71428" w:rsidP="00996F21">
      <w:pPr>
        <w:pStyle w:val="SingleTxtG"/>
        <w:ind w:firstLine="567"/>
      </w:pPr>
      <w:r w:rsidRPr="001F242B">
        <w:rPr>
          <w:i/>
          <w:iCs/>
        </w:rPr>
        <w:t>Welcoming</w:t>
      </w:r>
      <w:r w:rsidRPr="001F242B">
        <w:t xml:space="preserve"> the commitments made in Presidential Decree No. 13 of 2026 regarding the rights of Kurdish citizens in Syria, as well as the ceasefire and integration agreements announced on January 18 and 30 2026, and calling for the full implementation of arrangements for the civil, economic, administrative and military integration</w:t>
      </w:r>
      <w:r>
        <w:t xml:space="preserve"> </w:t>
      </w:r>
      <w:r w:rsidRPr="00BF6F73">
        <w:t>in the framework of a unified, sovereign and inclusive Syria</w:t>
      </w:r>
      <w:r>
        <w:t>,</w:t>
      </w:r>
    </w:p>
    <w:p w14:paraId="11C63B8E" w14:textId="4435B9C8" w:rsidR="00E6574E" w:rsidRPr="00E6574E" w:rsidRDefault="00E6574E" w:rsidP="00996F21">
      <w:pPr>
        <w:pStyle w:val="SingleTxtG"/>
        <w:ind w:firstLine="567"/>
      </w:pPr>
      <w:r w:rsidRPr="00E6574E">
        <w:rPr>
          <w:i/>
          <w:iCs/>
        </w:rPr>
        <w:t xml:space="preserve">Acknowledging </w:t>
      </w:r>
      <w:r w:rsidRPr="00E6574E">
        <w:t>the statements of the Secretary</w:t>
      </w:r>
      <w:r w:rsidR="00312A25">
        <w:t>-</w:t>
      </w:r>
      <w:r w:rsidRPr="00E6574E">
        <w:t xml:space="preserve">General and the </w:t>
      </w:r>
      <w:r w:rsidR="00F71428">
        <w:t xml:space="preserve">Office of the </w:t>
      </w:r>
      <w:r w:rsidR="00312A25" w:rsidRPr="00312A25">
        <w:t>Special Envoy of the Secretary-General for Syria</w:t>
      </w:r>
      <w:r w:rsidR="000949A7">
        <w:t>,</w:t>
      </w:r>
      <w:r w:rsidRPr="00E6574E">
        <w:t xml:space="preserve"> </w:t>
      </w:r>
      <w:r w:rsidR="000949A7">
        <w:t>who</w:t>
      </w:r>
      <w:r w:rsidR="000949A7" w:rsidRPr="00E6574E">
        <w:t xml:space="preserve"> </w:t>
      </w:r>
      <w:r w:rsidRPr="00E6574E">
        <w:t>note</w:t>
      </w:r>
      <w:r w:rsidR="000949A7">
        <w:t>d</w:t>
      </w:r>
      <w:r w:rsidRPr="00E6574E">
        <w:t xml:space="preserve"> incursions by Israel, in violation of the Disengagement of Forces Agreement</w:t>
      </w:r>
      <w:r w:rsidR="00BD7E68">
        <w:t xml:space="preserve"> of 1974</w:t>
      </w:r>
      <w:r w:rsidRPr="00E6574E">
        <w:t xml:space="preserve">, </w:t>
      </w:r>
      <w:r w:rsidR="000949A7">
        <w:t xml:space="preserve">which </w:t>
      </w:r>
      <w:r w:rsidRPr="00E6574E">
        <w:t>risk further destabili</w:t>
      </w:r>
      <w:r w:rsidR="00BD7E68">
        <w:t>z</w:t>
      </w:r>
      <w:r w:rsidRPr="00E6574E">
        <w:t>ing an already fragile situation, heightening regional tensions and undermining efforts toward</w:t>
      </w:r>
      <w:r w:rsidR="004708E7">
        <w:t>s</w:t>
      </w:r>
      <w:r w:rsidRPr="00E6574E">
        <w:t xml:space="preserve"> de-escalation and a sustainable political transition</w:t>
      </w:r>
      <w:r w:rsidRPr="00E6574E">
        <w:rPr>
          <w:i/>
          <w:iCs/>
        </w:rPr>
        <w:t xml:space="preserve">, </w:t>
      </w:r>
      <w:r w:rsidRPr="00E6574E">
        <w:t>and</w:t>
      </w:r>
      <w:r w:rsidRPr="00E6574E">
        <w:rPr>
          <w:i/>
          <w:iCs/>
        </w:rPr>
        <w:t xml:space="preserve"> </w:t>
      </w:r>
      <w:r w:rsidRPr="004A5C00">
        <w:t>emphasi</w:t>
      </w:r>
      <w:r w:rsidR="0097419B" w:rsidRPr="004A5C00">
        <w:t>z</w:t>
      </w:r>
      <w:r w:rsidRPr="004A5C00">
        <w:t>ing</w:t>
      </w:r>
      <w:r w:rsidRPr="00E6574E">
        <w:rPr>
          <w:i/>
          <w:iCs/>
        </w:rPr>
        <w:t xml:space="preserve"> </w:t>
      </w:r>
      <w:r w:rsidRPr="00E6574E">
        <w:t xml:space="preserve">in this regard the importance of ensuring the sovereignty and territorial integrity and unity of </w:t>
      </w:r>
      <w:r w:rsidR="004708E7">
        <w:t xml:space="preserve">the </w:t>
      </w:r>
      <w:r w:rsidRPr="00E6574E">
        <w:t>Syria</w:t>
      </w:r>
      <w:r w:rsidR="004708E7">
        <w:t>n Arab Republic</w:t>
      </w:r>
      <w:r w:rsidRPr="00E6574E">
        <w:t>, in accordance with international law, including the principles of the Charter and relevant Security Council resolutions,</w:t>
      </w:r>
    </w:p>
    <w:p w14:paraId="5658286A" w14:textId="5BE721A5" w:rsidR="00E6574E" w:rsidRPr="00E6574E" w:rsidRDefault="00E6574E" w:rsidP="00996F21">
      <w:pPr>
        <w:pStyle w:val="SingleTxtG"/>
        <w:ind w:firstLine="567"/>
      </w:pPr>
      <w:r w:rsidRPr="00E6574E">
        <w:rPr>
          <w:i/>
          <w:iCs/>
        </w:rPr>
        <w:t>Supporting</w:t>
      </w:r>
      <w:r w:rsidRPr="00E6574E">
        <w:t xml:space="preserve"> the </w:t>
      </w:r>
      <w:r w:rsidR="005377FE">
        <w:t xml:space="preserve">Government of </w:t>
      </w:r>
      <w:r w:rsidR="006E0A2E">
        <w:t xml:space="preserve">the </w:t>
      </w:r>
      <w:r w:rsidR="005377FE">
        <w:t>Syria</w:t>
      </w:r>
      <w:r w:rsidR="006E0A2E">
        <w:t>n Arab Republic</w:t>
      </w:r>
      <w:r w:rsidRPr="00E6574E">
        <w:t xml:space="preserve"> in </w:t>
      </w:r>
      <w:r w:rsidR="00204F7D">
        <w:t>its</w:t>
      </w:r>
      <w:r w:rsidR="00204F7D" w:rsidRPr="00E6574E">
        <w:t xml:space="preserve"> </w:t>
      </w:r>
      <w:r w:rsidRPr="00E6574E">
        <w:t>efforts, in line with international law,</w:t>
      </w:r>
      <w:r w:rsidRPr="00E6574E">
        <w:rPr>
          <w:b/>
          <w:bCs/>
        </w:rPr>
        <w:t xml:space="preserve"> </w:t>
      </w:r>
      <w:r w:rsidRPr="00E6574E">
        <w:t xml:space="preserve">to ensure that terrorist groups cannot re-establish a haven in Syrian territory, </w:t>
      </w:r>
      <w:proofErr w:type="gramStart"/>
      <w:r w:rsidRPr="00E6574E">
        <w:t>in order to</w:t>
      </w:r>
      <w:proofErr w:type="gramEnd"/>
      <w:r w:rsidRPr="00E6574E">
        <w:t xml:space="preserve"> preserve the territorial integrity, unity and sovereignty of </w:t>
      </w:r>
      <w:r w:rsidR="004708E7">
        <w:t xml:space="preserve">the </w:t>
      </w:r>
      <w:r w:rsidRPr="00E6574E">
        <w:t>Syria</w:t>
      </w:r>
      <w:r w:rsidR="004708E7">
        <w:t>n Arab Republic</w:t>
      </w:r>
      <w:r w:rsidRPr="00E6574E">
        <w:t xml:space="preserve"> and ensure peaceful coexistence,</w:t>
      </w:r>
    </w:p>
    <w:p w14:paraId="0F133D28" w14:textId="75B963BF" w:rsidR="00E6574E" w:rsidRPr="00E6574E" w:rsidRDefault="00E6574E" w:rsidP="00996F21">
      <w:pPr>
        <w:pStyle w:val="SingleTxtG"/>
        <w:ind w:firstLine="567"/>
      </w:pPr>
      <w:r w:rsidRPr="00E6574E">
        <w:rPr>
          <w:i/>
          <w:iCs/>
        </w:rPr>
        <w:t>Recogni</w:t>
      </w:r>
      <w:r w:rsidR="00E45F66">
        <w:rPr>
          <w:i/>
          <w:iCs/>
        </w:rPr>
        <w:t>z</w:t>
      </w:r>
      <w:r w:rsidRPr="00E6574E">
        <w:rPr>
          <w:i/>
          <w:iCs/>
        </w:rPr>
        <w:t>ing</w:t>
      </w:r>
      <w:r w:rsidRPr="00E6574E">
        <w:t xml:space="preserve"> the continued need for rapid, safe, unhindered and sustainable delivery of humanitarian aid to all people in need throughout the Syrian Arab Republic, </w:t>
      </w:r>
      <w:r w:rsidR="004708E7">
        <w:t>recognizing also</w:t>
      </w:r>
      <w:r w:rsidRPr="00E6574E">
        <w:t xml:space="preserve"> the need for sustainable interventions such as early recovery and reconstruction </w:t>
      </w:r>
      <w:r w:rsidR="00BD7E68">
        <w:t>which</w:t>
      </w:r>
      <w:r w:rsidR="00BD7E68" w:rsidRPr="00E6574E">
        <w:t xml:space="preserve"> </w:t>
      </w:r>
      <w:r w:rsidRPr="00E6574E">
        <w:t>contribute to the recovery of the country,</w:t>
      </w:r>
      <w:r w:rsidR="00F71428" w:rsidRPr="00F71428">
        <w:t xml:space="preserve"> and to facilitate the safe, unhindered and dignified return of refugees, </w:t>
      </w:r>
      <w:r w:rsidRPr="00E6574E">
        <w:t xml:space="preserve"> and </w:t>
      </w:r>
      <w:r w:rsidR="004708E7">
        <w:t>welcoming</w:t>
      </w:r>
      <w:r w:rsidR="004708E7" w:rsidRPr="00E6574E">
        <w:t xml:space="preserve"> </w:t>
      </w:r>
      <w:r w:rsidRPr="00E6574E">
        <w:t>the exemptions</w:t>
      </w:r>
      <w:r w:rsidR="004708E7">
        <w:t xml:space="preserve"> from</w:t>
      </w:r>
      <w:r w:rsidRPr="00E6574E">
        <w:t xml:space="preserve">, exceptions </w:t>
      </w:r>
      <w:r w:rsidR="004708E7">
        <w:t xml:space="preserve">to </w:t>
      </w:r>
      <w:r w:rsidRPr="00E6574E">
        <w:t>and suspension</w:t>
      </w:r>
      <w:r w:rsidR="00F71428">
        <w:t xml:space="preserve"> </w:t>
      </w:r>
      <w:r w:rsidR="00F71428" w:rsidRPr="00F71428">
        <w:t>and lifting</w:t>
      </w:r>
      <w:r w:rsidRPr="00E6574E">
        <w:t xml:space="preserve"> of a number of sanctions and restrictive measures applied to </w:t>
      </w:r>
      <w:r w:rsidR="004708E7">
        <w:t xml:space="preserve">the </w:t>
      </w:r>
      <w:r w:rsidRPr="00E6574E">
        <w:t>Syria</w:t>
      </w:r>
      <w:r w:rsidR="004708E7">
        <w:t>n Arab Republic</w:t>
      </w:r>
      <w:r w:rsidRPr="00E6574E">
        <w:t xml:space="preserve"> since the fall of the former regime,</w:t>
      </w:r>
      <w:r w:rsidR="00F71428">
        <w:t xml:space="preserve"> </w:t>
      </w:r>
      <w:r w:rsidR="00F71428" w:rsidRPr="00F71428">
        <w:t>to promote long-term recovery and reconstruction efforts in support of the country’s prosperity and long-term stability,</w:t>
      </w:r>
    </w:p>
    <w:p w14:paraId="42E106CE" w14:textId="086667BD" w:rsidR="00E6574E" w:rsidRPr="00E6574E" w:rsidRDefault="00E6574E" w:rsidP="00996F21">
      <w:pPr>
        <w:pStyle w:val="SingleTxtG"/>
        <w:ind w:firstLine="567"/>
      </w:pPr>
      <w:r w:rsidRPr="00996F21">
        <w:rPr>
          <w:iCs/>
        </w:rPr>
        <w:t>1</w:t>
      </w:r>
      <w:r w:rsidR="00996F21">
        <w:rPr>
          <w:iCs/>
        </w:rPr>
        <w:t>.</w:t>
      </w:r>
      <w:r w:rsidR="00996F21">
        <w:rPr>
          <w:iCs/>
        </w:rPr>
        <w:tab/>
      </w:r>
      <w:r w:rsidR="00F71428">
        <w:rPr>
          <w:i/>
        </w:rPr>
        <w:t>Re</w:t>
      </w:r>
      <w:r w:rsidR="00AA6547">
        <w:rPr>
          <w:i/>
        </w:rPr>
        <w:t>a</w:t>
      </w:r>
      <w:r w:rsidRPr="00E6574E">
        <w:rPr>
          <w:i/>
        </w:rPr>
        <w:t>ffirms</w:t>
      </w:r>
      <w:r w:rsidRPr="00E6574E">
        <w:t xml:space="preserve"> support for the Syrian people in their pursuit of a peaceful, representative and inclusive political process, in the spirit of the fundamental principles of Security Council </w:t>
      </w:r>
      <w:r w:rsidR="00BF6713">
        <w:t>r</w:t>
      </w:r>
      <w:r w:rsidRPr="00E6574E">
        <w:t>esolution 2254</w:t>
      </w:r>
      <w:r w:rsidR="00BF6713">
        <w:t xml:space="preserve"> (2015) of 18 December 2015</w:t>
      </w:r>
      <w:r w:rsidRPr="00E6574E">
        <w:t>, and supports the efforts of the</w:t>
      </w:r>
      <w:r w:rsidR="00F71428">
        <w:t xml:space="preserve"> Office of the</w:t>
      </w:r>
      <w:r w:rsidRPr="00E6574E">
        <w:t xml:space="preserve"> </w:t>
      </w:r>
      <w:r w:rsidR="00312A25">
        <w:rPr>
          <w:rStyle w:val="Title1"/>
          <w:lang w:val="en"/>
        </w:rPr>
        <w:t>Special Envoy of the Secretary-General for Syria</w:t>
      </w:r>
      <w:r w:rsidRPr="00E6574E">
        <w:t xml:space="preserve"> in aiding them in their </w:t>
      </w:r>
      <w:proofErr w:type="gramStart"/>
      <w:r w:rsidRPr="00E6574E">
        <w:t>endeavour;</w:t>
      </w:r>
      <w:proofErr w:type="gramEnd"/>
    </w:p>
    <w:p w14:paraId="56DC3E75" w14:textId="313B59DC" w:rsidR="00E6574E" w:rsidRDefault="00F71428" w:rsidP="00996F21">
      <w:pPr>
        <w:pStyle w:val="SingleTxtG"/>
        <w:ind w:firstLine="567"/>
      </w:pPr>
      <w:r>
        <w:lastRenderedPageBreak/>
        <w:t>2</w:t>
      </w:r>
      <w:r w:rsidR="00996F21">
        <w:t>.</w:t>
      </w:r>
      <w:r w:rsidR="00996F21">
        <w:tab/>
      </w:r>
      <w:r w:rsidRPr="00597232">
        <w:rPr>
          <w:i/>
          <w:iCs/>
        </w:rPr>
        <w:t>Reiterates</w:t>
      </w:r>
      <w:r>
        <w:t xml:space="preserve"> </w:t>
      </w:r>
      <w:r w:rsidR="00E6574E" w:rsidRPr="00E6574E">
        <w:t xml:space="preserve">the provisions of the Constitutional Declaration signed in March 2025 affirming that the </w:t>
      </w:r>
      <w:r w:rsidR="00873489">
        <w:t>S</w:t>
      </w:r>
      <w:r w:rsidR="00E6574E" w:rsidRPr="00E6574E">
        <w:t>tate shall guarantee human rights and fundamental freedoms</w:t>
      </w:r>
      <w:r w:rsidR="00873489">
        <w:t>,</w:t>
      </w:r>
      <w:r w:rsidR="00E6574E" w:rsidRPr="00E6574E">
        <w:t xml:space="preserve"> </w:t>
      </w:r>
      <w:r w:rsidR="00E6574E" w:rsidRPr="004A5C00">
        <w:t>notes with support</w:t>
      </w:r>
      <w:r w:rsidR="00E6574E" w:rsidRPr="00E6574E">
        <w:t xml:space="preserve"> the provisions made on freedom of expression, freedom of religion and women’s rights, and in this regard </w:t>
      </w:r>
      <w:r w:rsidR="00E6574E" w:rsidRPr="004A5C00">
        <w:t>calls</w:t>
      </w:r>
      <w:r w:rsidR="00E6574E" w:rsidRPr="00E6574E">
        <w:t xml:space="preserve"> for their implementation and </w:t>
      </w:r>
      <w:r w:rsidR="00E6574E" w:rsidRPr="004A5C00">
        <w:t>expresses</w:t>
      </w:r>
      <w:r w:rsidR="00E6574E" w:rsidRPr="00E6574E">
        <w:t xml:space="preserve"> </w:t>
      </w:r>
      <w:r w:rsidR="004708E7">
        <w:t xml:space="preserve">its </w:t>
      </w:r>
      <w:r w:rsidR="00E6574E" w:rsidRPr="00E6574E">
        <w:t xml:space="preserve">hope that the Constitutional Declaration will serve as a solid framework for a successful, orderly and inclusive transition and a peaceful future for </w:t>
      </w:r>
      <w:r w:rsidR="006E1A9A">
        <w:t xml:space="preserve">the </w:t>
      </w:r>
      <w:r w:rsidR="00E6574E" w:rsidRPr="00E6574E">
        <w:t>Syria</w:t>
      </w:r>
      <w:r w:rsidR="006E1A9A">
        <w:t>n Arab Republic</w:t>
      </w:r>
      <w:r w:rsidR="00E6574E" w:rsidRPr="00E6574E">
        <w:t xml:space="preserve">, ensuring human rights and fundamental freedoms for all Syrians, achieving justice and accountability, and upholding good governance and </w:t>
      </w:r>
      <w:r w:rsidR="001A3C43">
        <w:t xml:space="preserve">the </w:t>
      </w:r>
      <w:r w:rsidR="00E6574E" w:rsidRPr="00E6574E">
        <w:t>rule of law;</w:t>
      </w:r>
    </w:p>
    <w:p w14:paraId="768F892C" w14:textId="0AB22796" w:rsidR="00F71428" w:rsidRPr="00E6574E" w:rsidRDefault="00F71428" w:rsidP="00996F21">
      <w:pPr>
        <w:pStyle w:val="SingleTxtG"/>
        <w:ind w:firstLine="567"/>
      </w:pPr>
      <w:r w:rsidRPr="001F242B">
        <w:t xml:space="preserve">3.   </w:t>
      </w:r>
      <w:r>
        <w:rPr>
          <w:i/>
          <w:iCs/>
        </w:rPr>
        <w:t>Welcomes</w:t>
      </w:r>
      <w:r w:rsidRPr="00886E0A">
        <w:t xml:space="preserve"> </w:t>
      </w:r>
      <w:r w:rsidRPr="001F242B">
        <w:t>the indirect parliamentary elections held thus far in Syria as a step forward in the country’s political process, while recognizing the need for continued efforts to enhance the participation, representation, and leadership of women and girls from all of Syria’s religious and ethnic communities in a free and dignified manner as well as the need to draft a permanent constitution and hold general elections, while looking forward to the final results of the elections once they have occurred throughout Hasakah, Raqqa, and Suwayda</w:t>
      </w:r>
      <w:r>
        <w:t>;</w:t>
      </w:r>
    </w:p>
    <w:p w14:paraId="5A54EEB6" w14:textId="4CF31D9F" w:rsidR="00E6574E" w:rsidRDefault="00996F21" w:rsidP="00996F21">
      <w:pPr>
        <w:pStyle w:val="SingleTxtG"/>
        <w:ind w:firstLine="567"/>
      </w:pPr>
      <w:r>
        <w:t>4.</w:t>
      </w:r>
      <w:r>
        <w:tab/>
      </w:r>
      <w:r w:rsidR="00E6574E" w:rsidRPr="00E6574E">
        <w:rPr>
          <w:i/>
          <w:iCs/>
        </w:rPr>
        <w:t>Encourages</w:t>
      </w:r>
      <w:r w:rsidR="00E6574E" w:rsidRPr="00E6574E">
        <w:t xml:space="preserve"> the </w:t>
      </w:r>
      <w:r w:rsidR="005377FE">
        <w:t xml:space="preserve">Government of </w:t>
      </w:r>
      <w:r w:rsidR="006E0A2E">
        <w:t xml:space="preserve">the </w:t>
      </w:r>
      <w:r w:rsidR="005377FE">
        <w:t>Syria</w:t>
      </w:r>
      <w:r w:rsidR="006E0A2E">
        <w:t>n Arab Republic</w:t>
      </w:r>
      <w:r w:rsidR="00E6574E" w:rsidRPr="00E6574E">
        <w:t xml:space="preserve"> to ensure a sustainable path towards credible accountability for all crimes that does justice to the victims, survivors and their families</w:t>
      </w:r>
      <w:r w:rsidR="001A3C43">
        <w:t>,</w:t>
      </w:r>
      <w:r w:rsidR="00E6574E" w:rsidRPr="00E6574E">
        <w:t xml:space="preserve"> </w:t>
      </w:r>
      <w:r w:rsidR="00672920">
        <w:t xml:space="preserve">and </w:t>
      </w:r>
      <w:r w:rsidR="00E6574E" w:rsidRPr="00E6574E">
        <w:t xml:space="preserve">contributes to reconciliation and a peaceful future for all Syrians, and </w:t>
      </w:r>
      <w:r w:rsidR="00E6574E" w:rsidRPr="004A5C00">
        <w:t>recogni</w:t>
      </w:r>
      <w:r w:rsidR="00DD7E8E" w:rsidRPr="004A5C00">
        <w:t>z</w:t>
      </w:r>
      <w:r w:rsidR="00E6574E" w:rsidRPr="004A5C00">
        <w:t>es</w:t>
      </w:r>
      <w:r w:rsidR="00E6574E" w:rsidRPr="00E6574E">
        <w:t xml:space="preserve"> in this regard the fact that </w:t>
      </w:r>
      <w:r w:rsidR="001A3C43">
        <w:t xml:space="preserve">the </w:t>
      </w:r>
      <w:r w:rsidR="00E6574E" w:rsidRPr="00E6574E">
        <w:t>Constitutional Declaration include</w:t>
      </w:r>
      <w:r w:rsidR="00F71428">
        <w:t>d</w:t>
      </w:r>
      <w:r w:rsidR="00E6574E" w:rsidRPr="00E6574E">
        <w:t xml:space="preserve"> a provision to establish </w:t>
      </w:r>
      <w:r w:rsidR="001A3C43">
        <w:t xml:space="preserve">a </w:t>
      </w:r>
      <w:r w:rsidR="00E6574E" w:rsidRPr="00E6574E">
        <w:t xml:space="preserve">transitional justice commission, but also the multitude of challenges faced by the </w:t>
      </w:r>
      <w:r w:rsidR="005377FE">
        <w:t>Government</w:t>
      </w:r>
      <w:r w:rsidR="00E6574E" w:rsidRPr="00E6574E">
        <w:t xml:space="preserve"> in </w:t>
      </w:r>
      <w:r w:rsidR="006E0A2E">
        <w:t>its</w:t>
      </w:r>
      <w:r w:rsidR="006E0A2E" w:rsidRPr="00E6574E">
        <w:t xml:space="preserve"> </w:t>
      </w:r>
      <w:r w:rsidR="00E6574E" w:rsidRPr="00E6574E">
        <w:t xml:space="preserve">pursuit of a Syrian-led, Syrian-owned accountability and transitional justice </w:t>
      </w:r>
      <w:r w:rsidR="00BC2539">
        <w:t xml:space="preserve">owing </w:t>
      </w:r>
      <w:r w:rsidR="00E6574E" w:rsidRPr="00E6574E">
        <w:t>to the scale of the former regime</w:t>
      </w:r>
      <w:r w:rsidR="001A3C43">
        <w:t>’</w:t>
      </w:r>
      <w:r w:rsidR="00E6574E" w:rsidRPr="00E6574E">
        <w:t>s serious violations and their complex consequences;</w:t>
      </w:r>
    </w:p>
    <w:p w14:paraId="5F30ED48" w14:textId="0E680A47" w:rsidR="00F71428" w:rsidRPr="00E6574E" w:rsidRDefault="00F71428" w:rsidP="00996F21">
      <w:pPr>
        <w:pStyle w:val="SingleTxtG"/>
        <w:ind w:firstLine="567"/>
      </w:pPr>
      <w:r w:rsidRPr="001F242B">
        <w:t xml:space="preserve">5.   </w:t>
      </w:r>
      <w:r w:rsidRPr="001F242B">
        <w:rPr>
          <w:i/>
          <w:iCs/>
        </w:rPr>
        <w:t>Welcomes</w:t>
      </w:r>
      <w:r w:rsidRPr="001F242B">
        <w:t>, in this regard, the Government of Syria’s establishment of a National Commission on Transitional Justice and encourages the Commission to seek accountability for all victims of mass atrocity crimes, in accordance with international law, while cooperating with and receiving technical support from national and international bodies, including Syrian and international civil society, in this regard acknowledges the drafting of a transitional justice law and emphasizes the importance of a strong legislative foundation for future action</w:t>
      </w:r>
      <w:r>
        <w:t>;</w:t>
      </w:r>
    </w:p>
    <w:p w14:paraId="21111AAD" w14:textId="7B088239" w:rsidR="00E6574E" w:rsidRPr="00E6574E" w:rsidRDefault="00F71428" w:rsidP="00996F21">
      <w:pPr>
        <w:pStyle w:val="SingleTxtG"/>
        <w:ind w:firstLine="567"/>
      </w:pPr>
      <w:r>
        <w:t>6</w:t>
      </w:r>
      <w:r w:rsidR="00996F21">
        <w:t>.</w:t>
      </w:r>
      <w:r w:rsidR="00996F21">
        <w:tab/>
      </w:r>
      <w:r w:rsidRPr="001F242B">
        <w:rPr>
          <w:i/>
          <w:iCs/>
        </w:rPr>
        <w:t xml:space="preserve">Reiterates its call  </w:t>
      </w:r>
      <w:r>
        <w:t>on</w:t>
      </w:r>
      <w:r w:rsidRPr="001F242B">
        <w:rPr>
          <w:i/>
          <w:iCs/>
        </w:rPr>
        <w:t xml:space="preserve"> </w:t>
      </w:r>
      <w:r w:rsidR="00E6574E" w:rsidRPr="00E6574E">
        <w:t xml:space="preserve">the </w:t>
      </w:r>
      <w:r w:rsidR="005377FE">
        <w:t xml:space="preserve">Government of </w:t>
      </w:r>
      <w:r w:rsidR="006E0A2E">
        <w:t xml:space="preserve">the </w:t>
      </w:r>
      <w:r w:rsidR="005377FE">
        <w:t>Syria</w:t>
      </w:r>
      <w:r w:rsidR="006E0A2E">
        <w:t>n Arab Republic</w:t>
      </w:r>
      <w:r w:rsidR="00E6574E" w:rsidRPr="00E6574E">
        <w:t xml:space="preserve"> to</w:t>
      </w:r>
      <w:r w:rsidR="00E6574E" w:rsidRPr="00E6574E">
        <w:rPr>
          <w:i/>
          <w:iCs/>
        </w:rPr>
        <w:t xml:space="preserve"> </w:t>
      </w:r>
      <w:r w:rsidR="00E6574E" w:rsidRPr="00E6574E">
        <w:t xml:space="preserve">ensure </w:t>
      </w:r>
      <w:r w:rsidR="00E44252">
        <w:t xml:space="preserve">that </w:t>
      </w:r>
      <w:r w:rsidR="00E6574E" w:rsidRPr="00E6574E">
        <w:t xml:space="preserve">allegations of all crimes </w:t>
      </w:r>
      <w:r w:rsidR="00E44252">
        <w:t>that</w:t>
      </w:r>
      <w:r w:rsidR="00E44252" w:rsidRPr="00E6574E">
        <w:t xml:space="preserve"> </w:t>
      </w:r>
      <w:r w:rsidR="00E6574E" w:rsidRPr="00E6574E">
        <w:t xml:space="preserve">appear to constitute retaliation are investigated, and </w:t>
      </w:r>
      <w:r w:rsidR="00E44252">
        <w:t xml:space="preserve">that </w:t>
      </w:r>
      <w:r w:rsidR="00E6574E" w:rsidRPr="00E6574E">
        <w:t>perpetrators are held to account through transparent and appropriate judicial mechanisms which are compliant with human rights</w:t>
      </w:r>
      <w:r w:rsidR="00EF750E">
        <w:t xml:space="preserve"> standards</w:t>
      </w:r>
      <w:r w:rsidR="00E6574E" w:rsidRPr="00E6574E">
        <w:t xml:space="preserve">, and </w:t>
      </w:r>
      <w:r w:rsidR="00E6574E" w:rsidRPr="004A5C00">
        <w:t>acknowledges</w:t>
      </w:r>
      <w:r w:rsidR="00E6574E" w:rsidRPr="00E6574E">
        <w:t xml:space="preserve"> in this regard</w:t>
      </w:r>
      <w:r>
        <w:t xml:space="preserve"> </w:t>
      </w:r>
      <w:r w:rsidRPr="001F242B">
        <w:t>the formal initiation of criminal proceedings against those alleged to be perpetrators of human rights abuses committed in the coastal areas in March 2025, and</w:t>
      </w:r>
      <w:r w:rsidR="00E6574E" w:rsidRPr="00E6574E">
        <w:t xml:space="preserve"> </w:t>
      </w:r>
      <w:r>
        <w:t xml:space="preserve">further commitments </w:t>
      </w:r>
      <w:r w:rsidR="00E6574E" w:rsidRPr="00E6574E">
        <w:t xml:space="preserve">made </w:t>
      </w:r>
      <w:r w:rsidR="00EF750E">
        <w:t>at</w:t>
      </w:r>
      <w:r w:rsidR="00EF750E" w:rsidRPr="00E6574E">
        <w:t xml:space="preserve"> </w:t>
      </w:r>
      <w:r w:rsidR="00E6574E" w:rsidRPr="00E6574E">
        <w:t xml:space="preserve">the highest levels of the Syrian Arab Republic </w:t>
      </w:r>
      <w:r w:rsidR="00891055">
        <w:t>to</w:t>
      </w:r>
      <w:r w:rsidR="00E6574E" w:rsidRPr="00E6574E">
        <w:t xml:space="preserve"> hold accountable all those involved in the events of March 2025</w:t>
      </w:r>
      <w:r>
        <w:t xml:space="preserve"> and July 2025</w:t>
      </w:r>
      <w:r w:rsidR="00E6574E" w:rsidRPr="00E6574E">
        <w:t>;</w:t>
      </w:r>
    </w:p>
    <w:p w14:paraId="3388E8E8" w14:textId="1078C031" w:rsidR="00E6574E" w:rsidRPr="00E6574E" w:rsidRDefault="00F71428" w:rsidP="00996F21">
      <w:pPr>
        <w:pStyle w:val="SingleTxtG"/>
        <w:ind w:firstLine="567"/>
      </w:pPr>
      <w:r>
        <w:t>7</w:t>
      </w:r>
      <w:r w:rsidR="00996F21">
        <w:t>.</w:t>
      </w:r>
      <w:r w:rsidR="00996F21">
        <w:tab/>
      </w:r>
      <w:r w:rsidR="00E6574E" w:rsidRPr="00D33FC7">
        <w:rPr>
          <w:i/>
          <w:iCs/>
        </w:rPr>
        <w:t>Supports</w:t>
      </w:r>
      <w:r w:rsidR="00E6574E" w:rsidRPr="00E6574E">
        <w:rPr>
          <w:i/>
          <w:iCs/>
        </w:rPr>
        <w:t xml:space="preserve"> </w:t>
      </w:r>
      <w:r w:rsidR="00E6574E" w:rsidRPr="00E6574E">
        <w:t xml:space="preserve">the </w:t>
      </w:r>
      <w:r w:rsidR="005377FE">
        <w:t>Gover</w:t>
      </w:r>
      <w:r w:rsidR="004624AE">
        <w:t xml:space="preserve">nment of </w:t>
      </w:r>
      <w:r w:rsidR="006E0A2E">
        <w:t xml:space="preserve">the </w:t>
      </w:r>
      <w:r w:rsidR="004624AE">
        <w:t>Syria</w:t>
      </w:r>
      <w:r w:rsidR="006E0A2E">
        <w:t>n Arab Republic</w:t>
      </w:r>
      <w:r w:rsidR="00E6574E" w:rsidRPr="00E6574E">
        <w:t xml:space="preserve"> in their efforts to ensure the preservation of documentation, information and evidence related to violations and abuses of human rights and violations of international humanitarian law, including mass burial sites, and</w:t>
      </w:r>
      <w:r w:rsidR="00E6574E" w:rsidRPr="00E6574E">
        <w:rPr>
          <w:i/>
        </w:rPr>
        <w:t xml:space="preserve"> </w:t>
      </w:r>
      <w:r w:rsidR="00E6574E" w:rsidRPr="004A5C00">
        <w:t>encourages</w:t>
      </w:r>
      <w:r w:rsidR="00E6574E" w:rsidRPr="00E6574E">
        <w:t xml:space="preserve"> the </w:t>
      </w:r>
      <w:r w:rsidR="004624AE">
        <w:t xml:space="preserve">Government of </w:t>
      </w:r>
      <w:r w:rsidR="006E0A2E">
        <w:t xml:space="preserve">the </w:t>
      </w:r>
      <w:r w:rsidR="004624AE">
        <w:t>Syria</w:t>
      </w:r>
      <w:r w:rsidR="006E0A2E">
        <w:t>n Arab Republic</w:t>
      </w:r>
      <w:r w:rsidR="00E6574E" w:rsidRPr="00E6574E">
        <w:t xml:space="preserve"> to develop a comprehensive and sustainable system for maintaining such </w:t>
      </w:r>
      <w:proofErr w:type="gramStart"/>
      <w:r w:rsidR="00E6574E" w:rsidRPr="00E6574E">
        <w:t>evidence;</w:t>
      </w:r>
      <w:proofErr w:type="gramEnd"/>
    </w:p>
    <w:p w14:paraId="66EB7095" w14:textId="55FCEE97" w:rsidR="00E6574E" w:rsidRPr="00E6574E" w:rsidRDefault="00996F21" w:rsidP="00996F21">
      <w:pPr>
        <w:pStyle w:val="SingleTxtG"/>
        <w:ind w:firstLine="567"/>
      </w:pPr>
      <w:r>
        <w:t>8.</w:t>
      </w:r>
      <w:r>
        <w:tab/>
      </w:r>
      <w:r w:rsidR="00E6574E" w:rsidRPr="00E6574E">
        <w:rPr>
          <w:i/>
          <w:iCs/>
        </w:rPr>
        <w:t xml:space="preserve">Encourages </w:t>
      </w:r>
      <w:r w:rsidR="00E6574E" w:rsidRPr="00E6574E">
        <w:t xml:space="preserve">the </w:t>
      </w:r>
      <w:r w:rsidR="004624AE">
        <w:t xml:space="preserve">Government of </w:t>
      </w:r>
      <w:r w:rsidR="006E0A2E">
        <w:t xml:space="preserve">the </w:t>
      </w:r>
      <w:r w:rsidR="004624AE">
        <w:t>Syria</w:t>
      </w:r>
      <w:r w:rsidR="006E0A2E">
        <w:t>n Arab Republic</w:t>
      </w:r>
      <w:r w:rsidR="00E6574E" w:rsidRPr="00E6574E">
        <w:t xml:space="preserve"> to continue </w:t>
      </w:r>
      <w:r w:rsidR="00204F7D">
        <w:t>its</w:t>
      </w:r>
      <w:r w:rsidR="00204F7D" w:rsidRPr="00E6574E">
        <w:t xml:space="preserve"> </w:t>
      </w:r>
      <w:r w:rsidR="00E6574E" w:rsidRPr="00E6574E">
        <w:t xml:space="preserve">positive engagement with the Office of the </w:t>
      </w:r>
      <w:r w:rsidR="007044B8">
        <w:t xml:space="preserve">United Nations </w:t>
      </w:r>
      <w:r w:rsidR="00E6574E" w:rsidRPr="00E6574E">
        <w:t>High Commissioner for Human Rights, the International, Impartial and Independent Mechanism</w:t>
      </w:r>
      <w:r w:rsidR="007044B8" w:rsidRPr="00E6574E">
        <w:t xml:space="preserve"> to Assist in the Investigation and Prosecution of Persons Responsible for the Most Serious Crimes under International Law Committed in the Syrian Arab Republic since March 2011</w:t>
      </w:r>
      <w:r w:rsidR="00E6574E" w:rsidRPr="00E6574E">
        <w:t>, the Independent Institution on Missing Persons</w:t>
      </w:r>
      <w:r w:rsidR="007044B8">
        <w:t xml:space="preserve"> in </w:t>
      </w:r>
      <w:r w:rsidR="007044B8" w:rsidRPr="007044B8">
        <w:t>the Syrian Arab Republic</w:t>
      </w:r>
      <w:r w:rsidR="00E6574E" w:rsidRPr="007044B8">
        <w:t xml:space="preserve">, the Independent International Commission of Inquiry on the Syrian Arab Republic and other relevant </w:t>
      </w:r>
      <w:r w:rsidR="007044B8" w:rsidRPr="007044B8">
        <w:t>s</w:t>
      </w:r>
      <w:r w:rsidR="00E6574E" w:rsidRPr="007044B8">
        <w:t xml:space="preserve">pecial </w:t>
      </w:r>
      <w:r w:rsidR="007044B8" w:rsidRPr="007044B8">
        <w:t>p</w:t>
      </w:r>
      <w:r w:rsidR="00E6574E" w:rsidRPr="007044B8">
        <w:t>rocedures, as well as with Syrian civil society</w:t>
      </w:r>
      <w:r w:rsidR="007044B8">
        <w:t>,</w:t>
      </w:r>
      <w:r w:rsidR="00E6574E" w:rsidRPr="007044B8">
        <w:t xml:space="preserve"> including victim associations</w:t>
      </w:r>
      <w:r w:rsidR="00E6574E" w:rsidRPr="00E6574E">
        <w:t xml:space="preserve"> and groups, and in this regard </w:t>
      </w:r>
      <w:r w:rsidR="00E6574E" w:rsidRPr="004A5C00">
        <w:t>calls upon</w:t>
      </w:r>
      <w:r w:rsidR="00E6574E" w:rsidRPr="00E6574E">
        <w:t xml:space="preserve"> these organi</w:t>
      </w:r>
      <w:r w:rsidR="00DD7E8E">
        <w:t>z</w:t>
      </w:r>
      <w:r w:rsidR="00E6574E" w:rsidRPr="00E6574E">
        <w:t>ations and mechanisms to coordinate their approach and activities to ensure effectiveness;</w:t>
      </w:r>
    </w:p>
    <w:p w14:paraId="624EAC73" w14:textId="6359FB8F" w:rsidR="00E6574E" w:rsidRPr="00E6574E" w:rsidRDefault="00996F21" w:rsidP="00996F21">
      <w:pPr>
        <w:pStyle w:val="SingleTxtG"/>
        <w:ind w:firstLine="567"/>
      </w:pPr>
      <w:r>
        <w:t>9.</w:t>
      </w:r>
      <w:r>
        <w:tab/>
      </w:r>
      <w:r w:rsidR="00E6574E" w:rsidRPr="00E6574E">
        <w:rPr>
          <w:i/>
          <w:iCs/>
        </w:rPr>
        <w:t xml:space="preserve">Expresses </w:t>
      </w:r>
      <w:r w:rsidR="00E6574E" w:rsidRPr="004A5C00">
        <w:rPr>
          <w:i/>
          <w:iCs/>
        </w:rPr>
        <w:t xml:space="preserve">support </w:t>
      </w:r>
      <w:r w:rsidR="00E6574E" w:rsidRPr="00E6574E">
        <w:t xml:space="preserve">for civil society, human rights defenders, victims, survivors and their families and </w:t>
      </w:r>
      <w:r w:rsidR="007044B8">
        <w:t xml:space="preserve">for </w:t>
      </w:r>
      <w:r w:rsidR="00E6574E" w:rsidRPr="00E6574E">
        <w:t xml:space="preserve">their continued role in Syrian-led, Syrian-owned, inclusive and victim-centred transitional justice and accountability efforts, and in this regard </w:t>
      </w:r>
      <w:r w:rsidR="00EF750E">
        <w:t xml:space="preserve">stresses </w:t>
      </w:r>
      <w:r w:rsidR="00E6574E" w:rsidRPr="00E6574E">
        <w:t xml:space="preserve">the </w:t>
      </w:r>
      <w:r w:rsidR="00E6574E" w:rsidRPr="00E6574E">
        <w:lastRenderedPageBreak/>
        <w:t>need for the protection of civic space and free, impartial media</w:t>
      </w:r>
      <w:r w:rsidR="00E6574E" w:rsidRPr="00E6574E">
        <w:rPr>
          <w:lang w:val="en-US"/>
        </w:rPr>
        <w:t xml:space="preserve"> </w:t>
      </w:r>
      <w:r w:rsidR="00E6574E" w:rsidRPr="00E6574E">
        <w:t>and for the full, equal, meaningful and safe participation and leadership of women in the political transition;</w:t>
      </w:r>
    </w:p>
    <w:p w14:paraId="0985F74F" w14:textId="3F737837" w:rsidR="00E6574E" w:rsidRDefault="00996F21" w:rsidP="00996F21">
      <w:pPr>
        <w:pStyle w:val="SingleTxtG"/>
        <w:ind w:firstLine="567"/>
      </w:pPr>
      <w:r w:rsidRPr="00874B67">
        <w:t>10.</w:t>
      </w:r>
      <w:r w:rsidRPr="00874B67">
        <w:tab/>
      </w:r>
      <w:r w:rsidR="00E6574E" w:rsidRPr="00874B67">
        <w:rPr>
          <w:i/>
          <w:iCs/>
        </w:rPr>
        <w:t>Decides</w:t>
      </w:r>
      <w:r w:rsidR="00FE6524" w:rsidRPr="00FE6524">
        <w:t xml:space="preserve"> </w:t>
      </w:r>
      <w:proofErr w:type="gramStart"/>
      <w:r w:rsidR="00FE6524" w:rsidRPr="001F242B">
        <w:t>in order to</w:t>
      </w:r>
      <w:proofErr w:type="gramEnd"/>
      <w:r w:rsidR="00FE6524" w:rsidRPr="001F242B">
        <w:t xml:space="preserve"> support furth</w:t>
      </w:r>
      <w:r w:rsidR="00FE6524">
        <w:t>er</w:t>
      </w:r>
      <w:r w:rsidR="00FE6524" w:rsidRPr="001F242B">
        <w:t xml:space="preserve"> progress on human rights,</w:t>
      </w:r>
      <w:r w:rsidR="000F7951">
        <w:rPr>
          <w:i/>
          <w:iCs/>
        </w:rPr>
        <w:t xml:space="preserve"> </w:t>
      </w:r>
      <w:r w:rsidR="00E6574E" w:rsidRPr="00874B67">
        <w:t xml:space="preserve">to extend the mandate of the </w:t>
      </w:r>
      <w:bookmarkStart w:id="1" w:name="_Hlk189402751"/>
      <w:r w:rsidR="00E6574E" w:rsidRPr="00874B67">
        <w:t>Independent International Commission of Inquiry</w:t>
      </w:r>
      <w:r w:rsidR="00FE6524">
        <w:rPr>
          <w:rStyle w:val="FootnoteReference"/>
        </w:rPr>
        <w:footnoteReference w:id="3"/>
      </w:r>
      <w:r w:rsidR="00E6574E" w:rsidRPr="00874B67">
        <w:t xml:space="preserve"> on the Syrian Arab Republic </w:t>
      </w:r>
      <w:bookmarkEnd w:id="1"/>
      <w:r w:rsidR="00E6574E" w:rsidRPr="00874B67">
        <w:t>for a period of one year</w:t>
      </w:r>
      <w:r w:rsidR="00FE6524">
        <w:t xml:space="preserve">, </w:t>
      </w:r>
      <w:r w:rsidR="00FE6524" w:rsidRPr="00416020">
        <w:t>and in this context requests the Commission</w:t>
      </w:r>
      <w:r w:rsidR="00FE6524">
        <w:t xml:space="preserve"> </w:t>
      </w:r>
      <w:r w:rsidR="00FE6524" w:rsidRPr="00107AB2">
        <w:t>to</w:t>
      </w:r>
      <w:r w:rsidR="00FE6524">
        <w:t xml:space="preserve"> </w:t>
      </w:r>
      <w:r w:rsidR="00FE6524" w:rsidRPr="00107AB2">
        <w:t xml:space="preserve">do the </w:t>
      </w:r>
      <w:r w:rsidR="00FE6524" w:rsidRPr="002055A2">
        <w:t>following within its existing capacity:</w:t>
      </w:r>
    </w:p>
    <w:p w14:paraId="4D828E39" w14:textId="4F2F1756" w:rsidR="00FE6524" w:rsidRDefault="00FE6524" w:rsidP="00996F21">
      <w:pPr>
        <w:pStyle w:val="SingleTxtG"/>
        <w:ind w:firstLine="567"/>
        <w:rPr>
          <w:b/>
          <w:bCs/>
        </w:rPr>
      </w:pPr>
      <w:r>
        <w:t xml:space="preserve">a) </w:t>
      </w:r>
      <w:r w:rsidRPr="00814DDF">
        <w:t xml:space="preserve">To work in a manner </w:t>
      </w:r>
      <w:r w:rsidRPr="00107AB2">
        <w:t>that complements</w:t>
      </w:r>
      <w:r w:rsidRPr="00814DDF">
        <w:t xml:space="preserve"> national efforts and is aimed at helping Syria ensure that it meets its international human rights obligations, while fully maintaining the Commission’s </w:t>
      </w:r>
      <w:r w:rsidRPr="00EF47D9">
        <w:t>independence</w:t>
      </w:r>
      <w:r>
        <w:t xml:space="preserve">, </w:t>
      </w:r>
      <w:r w:rsidRPr="00F80EBB">
        <w:t>and the protection of victims and witnesses</w:t>
      </w:r>
      <w:r w:rsidRPr="00F80EBB">
        <w:rPr>
          <w:b/>
          <w:bCs/>
        </w:rPr>
        <w:t>.</w:t>
      </w:r>
    </w:p>
    <w:p w14:paraId="30432836" w14:textId="1E726F3F" w:rsidR="00FE6524" w:rsidRDefault="00FE6524" w:rsidP="00996F21">
      <w:pPr>
        <w:pStyle w:val="SingleTxtG"/>
        <w:ind w:firstLine="567"/>
      </w:pPr>
      <w:r>
        <w:t xml:space="preserve">b) </w:t>
      </w:r>
      <w:r w:rsidRPr="00814DDF">
        <w:t xml:space="preserve">To </w:t>
      </w:r>
      <w:r>
        <w:t xml:space="preserve">provide </w:t>
      </w:r>
      <w:r w:rsidRPr="00445E54">
        <w:t>methodological advice</w:t>
      </w:r>
      <w:r w:rsidRPr="00A035B0">
        <w:t xml:space="preserve"> </w:t>
      </w:r>
      <w:r w:rsidRPr="00814DDF">
        <w:t>based on its practical experience and expertise, to support national investigations into allegations of human rights violations and abuses upon the request of the Syrian Government and in coordination with relevant UN entities.</w:t>
      </w:r>
    </w:p>
    <w:p w14:paraId="0747BBCA" w14:textId="42C0088D" w:rsidR="00FE6524" w:rsidRDefault="00FE6524" w:rsidP="00996F21">
      <w:pPr>
        <w:pStyle w:val="SingleTxtG"/>
        <w:ind w:firstLine="567"/>
      </w:pPr>
      <w:r>
        <w:t xml:space="preserve">c) </w:t>
      </w:r>
      <w:r w:rsidRPr="00814DDF">
        <w:t>To</w:t>
      </w:r>
      <w:r>
        <w:t xml:space="preserve"> provide</w:t>
      </w:r>
      <w:r w:rsidRPr="00814DDF">
        <w:t xml:space="preserve"> </w:t>
      </w:r>
      <w:r w:rsidRPr="00445E54">
        <w:t>advice based on its expertise</w:t>
      </w:r>
      <w:r w:rsidRPr="00091D47">
        <w:t xml:space="preserve"> </w:t>
      </w:r>
      <w:r w:rsidRPr="00814DDF">
        <w:t>to Syrian national entities</w:t>
      </w:r>
      <w:r>
        <w:t xml:space="preserve">, including the National Commission for Transitional Justice, </w:t>
      </w:r>
      <w:r w:rsidRPr="00814DDF">
        <w:t>in areas related to ensuring justice and accountability, preventing violations, and improving the human rights situatio</w:t>
      </w:r>
      <w:r w:rsidRPr="002F7F6F">
        <w:t>n</w:t>
      </w:r>
      <w:r w:rsidRPr="004577AE">
        <w:t xml:space="preserve">, </w:t>
      </w:r>
      <w:r>
        <w:t>in coordination with relevant UN entities.</w:t>
      </w:r>
    </w:p>
    <w:p w14:paraId="1CDF95E4" w14:textId="3A292C19" w:rsidR="00FE6524" w:rsidRPr="00E6574E" w:rsidRDefault="00FE6524" w:rsidP="00996F21">
      <w:pPr>
        <w:pStyle w:val="SingleTxtG"/>
        <w:ind w:firstLine="567"/>
      </w:pPr>
      <w:r>
        <w:t>d)  T</w:t>
      </w:r>
      <w:r w:rsidRPr="00E6574E">
        <w:t>o present an</w:t>
      </w:r>
      <w:r w:rsidRPr="00E6574E">
        <w:rPr>
          <w:lang w:val="en-US"/>
        </w:rPr>
        <w:t xml:space="preserve"> </w:t>
      </w:r>
      <w:r w:rsidRPr="00E6574E">
        <w:t xml:space="preserve">oral update to the </w:t>
      </w:r>
      <w:r>
        <w:t xml:space="preserve">Human Rights </w:t>
      </w:r>
      <w:r w:rsidRPr="00E6574E">
        <w:t xml:space="preserve">Council at </w:t>
      </w:r>
      <w:r>
        <w:t>its</w:t>
      </w:r>
      <w:r w:rsidRPr="00E6574E">
        <w:t xml:space="preserve"> </w:t>
      </w:r>
      <w:r>
        <w:t>sixty third</w:t>
      </w:r>
      <w:r w:rsidRPr="00E6574E">
        <w:t xml:space="preserve"> session, </w:t>
      </w:r>
      <w:r>
        <w:t xml:space="preserve">and a </w:t>
      </w:r>
      <w:r w:rsidRPr="00E6574E">
        <w:t>report</w:t>
      </w:r>
      <w:r>
        <w:t xml:space="preserve"> </w:t>
      </w:r>
      <w:r w:rsidRPr="00814DDF">
        <w:t>of the period January 2026 – January 2027</w:t>
      </w:r>
      <w:r>
        <w:t xml:space="preserve"> </w:t>
      </w:r>
      <w:r w:rsidRPr="00814DDF">
        <w:t xml:space="preserve"> with a focus </w:t>
      </w:r>
      <w:r w:rsidRPr="00445E54">
        <w:t>on  an assessment of the human rights situation in the country and</w:t>
      </w:r>
      <w:r w:rsidRPr="00F80EBB">
        <w:t xml:space="preserve"> priorities</w:t>
      </w:r>
      <w:r w:rsidRPr="00814DDF">
        <w:t xml:space="preserve"> for technical assistance and capacity building to support domestic efforts in the field of </w:t>
      </w:r>
      <w:r w:rsidRPr="00EF47D9">
        <w:t>human rights, accountability</w:t>
      </w:r>
      <w:r w:rsidRPr="00814DDF">
        <w:t xml:space="preserve"> and transitional justice</w:t>
      </w:r>
      <w:r>
        <w:t xml:space="preserve">, </w:t>
      </w:r>
      <w:r w:rsidRPr="00814DDF">
        <w:t>which will further advance recommendations by the Commission at the 64</w:t>
      </w:r>
      <w:r w:rsidRPr="00814DDF">
        <w:rPr>
          <w:vertAlign w:val="superscript"/>
        </w:rPr>
        <w:t>th</w:t>
      </w:r>
      <w:r w:rsidRPr="00814DDF">
        <w:t xml:space="preserve"> session, to be presented at a</w:t>
      </w:r>
      <w:r>
        <w:t xml:space="preserve"> joint</w:t>
      </w:r>
      <w:r w:rsidRPr="00814DDF">
        <w:t xml:space="preserve"> interactive dialogue with the High Commissioner for Human Rights</w:t>
      </w:r>
      <w:r>
        <w:t xml:space="preserve"> under agenda item</w:t>
      </w:r>
      <w:r w:rsidRPr="00E6574E">
        <w:t xml:space="preserve"> </w:t>
      </w:r>
      <w:r w:rsidR="008145F3">
        <w:t>2;</w:t>
      </w:r>
    </w:p>
    <w:p w14:paraId="42F51628" w14:textId="1461428E" w:rsidR="00E6574E" w:rsidRDefault="00996F21" w:rsidP="00996F21">
      <w:pPr>
        <w:pStyle w:val="SingleTxtG"/>
        <w:ind w:firstLine="567"/>
      </w:pPr>
      <w:r>
        <w:rPr>
          <w:lang w:val="en-US"/>
        </w:rPr>
        <w:t>11.</w:t>
      </w:r>
      <w:r>
        <w:rPr>
          <w:lang w:val="en-US"/>
        </w:rPr>
        <w:tab/>
      </w:r>
      <w:r w:rsidR="00FE6524">
        <w:t>W</w:t>
      </w:r>
      <w:r w:rsidR="00E6574E" w:rsidRPr="00E6574E">
        <w:t xml:space="preserve">elcomes the broad access granted by the </w:t>
      </w:r>
      <w:r w:rsidR="004624AE">
        <w:t xml:space="preserve">Government of </w:t>
      </w:r>
      <w:r w:rsidR="006E0A2E">
        <w:t xml:space="preserve">the </w:t>
      </w:r>
      <w:r w:rsidR="004624AE">
        <w:t>Syria</w:t>
      </w:r>
      <w:r w:rsidR="006E0A2E">
        <w:t>n Arab Republic</w:t>
      </w:r>
      <w:r w:rsidR="00E6574E" w:rsidRPr="00E6574E">
        <w:t xml:space="preserve"> to the Commission</w:t>
      </w:r>
      <w:r w:rsidR="00874B67">
        <w:t>,</w:t>
      </w:r>
      <w:r w:rsidR="00E6574E" w:rsidRPr="00E6574E">
        <w:t xml:space="preserve"> </w:t>
      </w:r>
      <w:r w:rsidR="00FE6524">
        <w:t xml:space="preserve">encourages continued cooperation between the Commission and the Government, </w:t>
      </w:r>
      <w:r w:rsidR="00E6574E" w:rsidRPr="00E6574E">
        <w:t xml:space="preserve">and </w:t>
      </w:r>
      <w:r w:rsidR="00E6574E" w:rsidRPr="004A5C00">
        <w:t>encourages</w:t>
      </w:r>
      <w:r w:rsidR="00E6574E" w:rsidRPr="00E6574E">
        <w:t xml:space="preserve"> the </w:t>
      </w:r>
      <w:r w:rsidR="004624AE">
        <w:t xml:space="preserve">Government of </w:t>
      </w:r>
      <w:r w:rsidR="006E0A2E">
        <w:t xml:space="preserve">the </w:t>
      </w:r>
      <w:r w:rsidR="004624AE">
        <w:t>Syria</w:t>
      </w:r>
      <w:r w:rsidR="006E0A2E">
        <w:t>n Arab Republic</w:t>
      </w:r>
      <w:r w:rsidR="00E6574E" w:rsidRPr="00E6574E">
        <w:t xml:space="preserve"> to</w:t>
      </w:r>
      <w:r w:rsidR="00FE6524">
        <w:t xml:space="preserve"> continue</w:t>
      </w:r>
      <w:r w:rsidR="00980A40">
        <w:t xml:space="preserve"> to</w:t>
      </w:r>
      <w:r w:rsidR="00E6574E" w:rsidRPr="00E6574E">
        <w:t xml:space="preserve"> grant the Commission necessary access throughout the Syrian Arab </w:t>
      </w:r>
      <w:proofErr w:type="gramStart"/>
      <w:r w:rsidR="00E6574E" w:rsidRPr="00E6574E">
        <w:t>Republic;</w:t>
      </w:r>
      <w:proofErr w:type="gramEnd"/>
    </w:p>
    <w:p w14:paraId="5F72C09A" w14:textId="144DCDB0" w:rsidR="00FE6524" w:rsidRPr="00E6574E" w:rsidRDefault="00FE6524" w:rsidP="00996F21">
      <w:pPr>
        <w:pStyle w:val="SingleTxtG"/>
        <w:ind w:firstLine="567"/>
        <w:rPr>
          <w:i/>
          <w:iCs/>
        </w:rPr>
      </w:pPr>
      <w:r w:rsidRPr="001F242B">
        <w:rPr>
          <w:lang w:val="en-US"/>
        </w:rPr>
        <w:t>1</w:t>
      </w:r>
      <w:r>
        <w:rPr>
          <w:lang w:val="en-US"/>
        </w:rPr>
        <w:t>2</w:t>
      </w:r>
      <w:r w:rsidRPr="001F242B">
        <w:rPr>
          <w:lang w:val="en-US"/>
        </w:rPr>
        <w:t xml:space="preserve">. </w:t>
      </w:r>
      <w:r w:rsidRPr="00E14D35">
        <w:rPr>
          <w:i/>
          <w:iCs/>
          <w:lang w:val="en-US"/>
        </w:rPr>
        <w:t>Recognizes</w:t>
      </w:r>
      <w:r w:rsidRPr="001F242B">
        <w:rPr>
          <w:lang w:val="en-US"/>
        </w:rPr>
        <w:t xml:space="preserve"> the need to review the most appropriate and effective approach for advancing the situation of human rights in the Syrian Arab Republic</w:t>
      </w:r>
      <w:r>
        <w:rPr>
          <w:lang w:val="en-US"/>
        </w:rPr>
        <w:t xml:space="preserve"> </w:t>
      </w:r>
      <w:r w:rsidRPr="001F242B">
        <w:rPr>
          <w:lang w:val="en-US"/>
        </w:rPr>
        <w:t>at the Human Rights Council</w:t>
      </w:r>
      <w:r w:rsidRPr="00EF47D9">
        <w:rPr>
          <w:lang w:val="en-US"/>
        </w:rPr>
        <w:t>, including the relevance and scope of the mandate of the Commission,</w:t>
      </w:r>
      <w:r w:rsidRPr="001F242B">
        <w:rPr>
          <w:lang w:val="en-US"/>
        </w:rPr>
        <w:t xml:space="preserve"> considering progress made on the implementation of this resolution by its 64th </w:t>
      </w:r>
      <w:proofErr w:type="gramStart"/>
      <w:r w:rsidRPr="001F242B">
        <w:rPr>
          <w:lang w:val="en-US"/>
        </w:rPr>
        <w:t>session;</w:t>
      </w:r>
      <w:proofErr w:type="gramEnd"/>
    </w:p>
    <w:p w14:paraId="320EA036" w14:textId="7F64C5C2" w:rsidR="00E6574E" w:rsidRPr="00E6574E" w:rsidRDefault="00996F21" w:rsidP="00996F21">
      <w:pPr>
        <w:pStyle w:val="SingleTxtG"/>
        <w:ind w:firstLine="567"/>
      </w:pPr>
      <w:r>
        <w:t>13.</w:t>
      </w:r>
      <w:r>
        <w:tab/>
      </w:r>
      <w:r w:rsidR="00E6574E" w:rsidRPr="00E6574E">
        <w:rPr>
          <w:i/>
          <w:iCs/>
        </w:rPr>
        <w:t xml:space="preserve">Reaffirms </w:t>
      </w:r>
      <w:r w:rsidR="00E6574E" w:rsidRPr="00E6574E">
        <w:t xml:space="preserve">its decision to transmit the report and oral updates of the Commission of Inquiry to relevant bodies of the United </w:t>
      </w:r>
      <w:proofErr w:type="gramStart"/>
      <w:r w:rsidR="00E6574E" w:rsidRPr="00E6574E">
        <w:t>Nations;</w:t>
      </w:r>
      <w:proofErr w:type="gramEnd"/>
    </w:p>
    <w:p w14:paraId="19F4CAA9" w14:textId="0DB86C51" w:rsidR="00927E57" w:rsidRDefault="00E6574E" w:rsidP="00996F21">
      <w:pPr>
        <w:pStyle w:val="SingleTxtG"/>
        <w:ind w:firstLine="567"/>
      </w:pPr>
      <w:r w:rsidRPr="00E6574E">
        <w:t>14.</w:t>
      </w:r>
      <w:r w:rsidRPr="00E6574E">
        <w:tab/>
      </w:r>
      <w:r w:rsidRPr="004A5C00">
        <w:rPr>
          <w:i/>
          <w:iCs/>
        </w:rPr>
        <w:t>Decides</w:t>
      </w:r>
      <w:r w:rsidRPr="00E6574E">
        <w:t xml:space="preserve"> to remain seized of the matter.</w:t>
      </w:r>
    </w:p>
    <w:p w14:paraId="5F0F7921" w14:textId="3103F8F6" w:rsidR="00CF586F" w:rsidRPr="00996F21" w:rsidRDefault="00996F21" w:rsidP="00996F21">
      <w:pPr>
        <w:spacing w:before="240"/>
        <w:jc w:val="center"/>
        <w:rPr>
          <w:u w:val="single"/>
        </w:rPr>
      </w:pPr>
      <w:r>
        <w:rPr>
          <w:u w:val="single"/>
        </w:rPr>
        <w:tab/>
      </w:r>
      <w:r>
        <w:rPr>
          <w:u w:val="single"/>
        </w:rPr>
        <w:tab/>
      </w:r>
      <w:r>
        <w:rPr>
          <w:u w:val="single"/>
        </w:rPr>
        <w:tab/>
      </w:r>
    </w:p>
    <w:sectPr w:rsidR="00CF586F" w:rsidRPr="00996F21" w:rsidSect="00927E57">
      <w:headerReference w:type="even" r:id="rId11"/>
      <w:headerReference w:type="default" r:id="rId12"/>
      <w:footerReference w:type="even" r:id="rId13"/>
      <w:footerReference w:type="default" r:id="rId14"/>
      <w:footerReference w:type="first" r:id="rId15"/>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7B2FB" w14:textId="77777777" w:rsidR="00845995" w:rsidRDefault="00845995"/>
  </w:endnote>
  <w:endnote w:type="continuationSeparator" w:id="0">
    <w:p w14:paraId="64AA6F6B" w14:textId="77777777" w:rsidR="00845995" w:rsidRDefault="00845995"/>
  </w:endnote>
  <w:endnote w:type="continuationNotice" w:id="1">
    <w:p w14:paraId="6FB3B93B" w14:textId="77777777" w:rsidR="00845995" w:rsidRDefault="008459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F094C" w14:textId="77777777" w:rsidR="00927E57" w:rsidRPr="00927E57" w:rsidRDefault="00927E57" w:rsidP="00927E57">
    <w:pPr>
      <w:pStyle w:val="Footer"/>
      <w:tabs>
        <w:tab w:val="right" w:pos="9638"/>
      </w:tabs>
      <w:rPr>
        <w:sz w:val="18"/>
      </w:rPr>
    </w:pPr>
    <w:r w:rsidRPr="00927E57">
      <w:rPr>
        <w:b/>
        <w:sz w:val="18"/>
      </w:rPr>
      <w:fldChar w:fldCharType="begin"/>
    </w:r>
    <w:r w:rsidRPr="00927E57">
      <w:rPr>
        <w:b/>
        <w:sz w:val="18"/>
      </w:rPr>
      <w:instrText xml:space="preserve"> PAGE  \* MERGEFORMAT </w:instrText>
    </w:r>
    <w:r w:rsidRPr="00927E57">
      <w:rPr>
        <w:b/>
        <w:sz w:val="18"/>
      </w:rPr>
      <w:fldChar w:fldCharType="separate"/>
    </w:r>
    <w:r w:rsidR="007C5841">
      <w:rPr>
        <w:b/>
        <w:noProof/>
        <w:sz w:val="18"/>
      </w:rPr>
      <w:t>2</w:t>
    </w:r>
    <w:r w:rsidRPr="00927E57">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F4984" w14:textId="77777777" w:rsidR="00927E57" w:rsidRPr="00927E57" w:rsidRDefault="00927E57" w:rsidP="00927E57">
    <w:pPr>
      <w:pStyle w:val="Footer"/>
      <w:tabs>
        <w:tab w:val="right" w:pos="9638"/>
      </w:tabs>
      <w:rPr>
        <w:b/>
        <w:sz w:val="18"/>
      </w:rPr>
    </w:pPr>
    <w:r>
      <w:tab/>
    </w:r>
    <w:r w:rsidRPr="00927E57">
      <w:rPr>
        <w:b/>
        <w:sz w:val="18"/>
      </w:rPr>
      <w:fldChar w:fldCharType="begin"/>
    </w:r>
    <w:r w:rsidRPr="00927E57">
      <w:rPr>
        <w:b/>
        <w:sz w:val="18"/>
      </w:rPr>
      <w:instrText xml:space="preserve"> PAGE  \* MERGEFORMAT </w:instrText>
    </w:r>
    <w:r w:rsidRPr="00927E57">
      <w:rPr>
        <w:b/>
        <w:sz w:val="18"/>
      </w:rPr>
      <w:fldChar w:fldCharType="separate"/>
    </w:r>
    <w:r>
      <w:rPr>
        <w:b/>
        <w:noProof/>
        <w:sz w:val="18"/>
      </w:rPr>
      <w:t>3</w:t>
    </w:r>
    <w:r w:rsidRPr="00927E57">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E1CE0" w14:textId="758396AA" w:rsidR="006F2610" w:rsidRDefault="002E083D" w:rsidP="002E083D">
    <w:pPr>
      <w:pStyle w:val="Footer"/>
      <w:ind w:right="1134"/>
      <w:rPr>
        <w:sz w:val="20"/>
      </w:rPr>
    </w:pPr>
    <w:r w:rsidRPr="002E083D">
      <w:rPr>
        <w:noProof/>
        <w:sz w:val="20"/>
        <w:lang w:val="en-US"/>
      </w:rPr>
      <w:drawing>
        <wp:anchor distT="0" distB="0" distL="114300" distR="114300" simplePos="0" relativeHeight="251660288" behindDoc="0" locked="1" layoutInCell="1" allowOverlap="1" wp14:anchorId="5437F9C2" wp14:editId="02756704">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1FDB114F" w14:textId="229EE24A" w:rsidR="002E083D" w:rsidRPr="002E083D" w:rsidRDefault="002E083D" w:rsidP="002E083D">
    <w:pPr>
      <w:pStyle w:val="Footer"/>
      <w:ind w:right="1134"/>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BD90C" w14:textId="77777777" w:rsidR="00845995" w:rsidRPr="000B175B" w:rsidRDefault="00845995" w:rsidP="000B175B">
      <w:pPr>
        <w:tabs>
          <w:tab w:val="right" w:pos="2155"/>
        </w:tabs>
        <w:spacing w:after="80"/>
        <w:ind w:left="680"/>
        <w:rPr>
          <w:u w:val="single"/>
        </w:rPr>
      </w:pPr>
      <w:r>
        <w:rPr>
          <w:u w:val="single"/>
        </w:rPr>
        <w:tab/>
      </w:r>
    </w:p>
  </w:footnote>
  <w:footnote w:type="continuationSeparator" w:id="0">
    <w:p w14:paraId="1A0BF248" w14:textId="77777777" w:rsidR="00845995" w:rsidRPr="00FC68B7" w:rsidRDefault="00845995" w:rsidP="00FC68B7">
      <w:pPr>
        <w:tabs>
          <w:tab w:val="left" w:pos="2155"/>
        </w:tabs>
        <w:spacing w:after="80"/>
        <w:ind w:left="680"/>
        <w:rPr>
          <w:u w:val="single"/>
        </w:rPr>
      </w:pPr>
      <w:r>
        <w:rPr>
          <w:u w:val="single"/>
        </w:rPr>
        <w:tab/>
      </w:r>
    </w:p>
  </w:footnote>
  <w:footnote w:type="continuationNotice" w:id="1">
    <w:p w14:paraId="4257C2BF" w14:textId="77777777" w:rsidR="00845995" w:rsidRDefault="00845995"/>
  </w:footnote>
  <w:footnote w:id="2">
    <w:p w14:paraId="2DEF398A" w14:textId="77777777" w:rsidR="00F92CB8" w:rsidRPr="00A43C89" w:rsidRDefault="00F92CB8" w:rsidP="00F92CB8">
      <w:pPr>
        <w:pStyle w:val="FootnoteText"/>
        <w:widowControl w:val="0"/>
        <w:tabs>
          <w:tab w:val="clear" w:pos="1021"/>
          <w:tab w:val="right" w:pos="1020"/>
        </w:tabs>
        <w:rPr>
          <w:lang w:val="en-US"/>
        </w:rPr>
      </w:pPr>
      <w:r>
        <w:tab/>
      </w:r>
      <w:r w:rsidRPr="004708E7">
        <w:rPr>
          <w:rStyle w:val="FootnoteReference"/>
        </w:rPr>
        <w:footnoteRef/>
      </w:r>
      <w:r w:rsidRPr="004708E7">
        <w:tab/>
        <w:t xml:space="preserve">See </w:t>
      </w:r>
      <w:r w:rsidRPr="009E2B08">
        <w:t>also A/HRC/46/55 and the conference room paper of the Commission of Inquiry entitled</w:t>
      </w:r>
      <w:r>
        <w:br/>
      </w:r>
      <w:r w:rsidRPr="009E2B08">
        <w:t xml:space="preserve">“‘Web of agony’: arbitrary detention, torture and ill-treatment by former Government forces in the Syrian Arab Republic”, available on the web page of the Commission of Inquiry at </w:t>
      </w:r>
      <w:hyperlink r:id="rId1" w:tgtFrame="_blank" w:tooltip="https://www.ohchr.org/en/hr-bodies/hrc/iici-syria/documentation" w:history="1">
        <w:r w:rsidRPr="009E2B08">
          <w:rPr>
            <w:rStyle w:val="Hyperlink"/>
          </w:rPr>
          <w:t>https://www.ohchr.org/en/hr-bodies/hrc/iici-syria/documentation</w:t>
        </w:r>
      </w:hyperlink>
      <w:r w:rsidRPr="004708E7">
        <w:t>.</w:t>
      </w:r>
    </w:p>
  </w:footnote>
  <w:footnote w:id="3">
    <w:p w14:paraId="20E517A6" w14:textId="77777777" w:rsidR="00FE6524" w:rsidRDefault="00FE6524" w:rsidP="00FE6524">
      <w:pPr>
        <w:pStyle w:val="FootnoteText"/>
      </w:pPr>
      <w:r>
        <w:rPr>
          <w:rStyle w:val="FootnoteReference"/>
        </w:rPr>
        <w:footnoteRef/>
      </w:r>
      <w:r>
        <w:t xml:space="preserve"> A/HRC/RES/S-17/1</w:t>
      </w:r>
    </w:p>
    <w:p w14:paraId="3F8957F5" w14:textId="0FC8F6BA" w:rsidR="00FE6524" w:rsidRDefault="00FE652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836EE" w14:textId="1338A797" w:rsidR="00927E57" w:rsidRPr="007C6511" w:rsidRDefault="00927E57">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AA0C8" w14:textId="4A16DE74" w:rsidR="00927E57" w:rsidRPr="00996F21" w:rsidRDefault="00927E57" w:rsidP="00DF604C">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7F605A55"/>
    <w:multiLevelType w:val="hybridMultilevel"/>
    <w:tmpl w:val="96828F20"/>
    <w:lvl w:ilvl="0" w:tplc="A868260A">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1255363">
    <w:abstractNumId w:val="5"/>
  </w:num>
  <w:num w:numId="2" w16cid:durableId="233708530">
    <w:abstractNumId w:val="4"/>
  </w:num>
  <w:num w:numId="3" w16cid:durableId="1979459614">
    <w:abstractNumId w:val="7"/>
  </w:num>
  <w:num w:numId="4" w16cid:durableId="1215237458">
    <w:abstractNumId w:val="3"/>
  </w:num>
  <w:num w:numId="5" w16cid:durableId="1259093947">
    <w:abstractNumId w:val="0"/>
  </w:num>
  <w:num w:numId="6" w16cid:durableId="106244981">
    <w:abstractNumId w:val="1"/>
  </w:num>
  <w:num w:numId="7" w16cid:durableId="1605765801">
    <w:abstractNumId w:val="6"/>
  </w:num>
  <w:num w:numId="8" w16cid:durableId="1018194461">
    <w:abstractNumId w:val="2"/>
  </w:num>
  <w:num w:numId="9" w16cid:durableId="43918396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E57"/>
    <w:rsid w:val="000055B6"/>
    <w:rsid w:val="00007F7F"/>
    <w:rsid w:val="00020894"/>
    <w:rsid w:val="00022DB5"/>
    <w:rsid w:val="000355D8"/>
    <w:rsid w:val="00036200"/>
    <w:rsid w:val="000403D1"/>
    <w:rsid w:val="000449AA"/>
    <w:rsid w:val="00050F6B"/>
    <w:rsid w:val="0005662A"/>
    <w:rsid w:val="00056F33"/>
    <w:rsid w:val="00066CD7"/>
    <w:rsid w:val="00072C8C"/>
    <w:rsid w:val="00073E70"/>
    <w:rsid w:val="000742B2"/>
    <w:rsid w:val="000876EB"/>
    <w:rsid w:val="00087F0B"/>
    <w:rsid w:val="00091419"/>
    <w:rsid w:val="000931C0"/>
    <w:rsid w:val="000949A7"/>
    <w:rsid w:val="000A0F5F"/>
    <w:rsid w:val="000A2CD7"/>
    <w:rsid w:val="000A3044"/>
    <w:rsid w:val="000B175B"/>
    <w:rsid w:val="000B2851"/>
    <w:rsid w:val="000B2F5F"/>
    <w:rsid w:val="000B3A0F"/>
    <w:rsid w:val="000B4A3B"/>
    <w:rsid w:val="000C59D8"/>
    <w:rsid w:val="000D1851"/>
    <w:rsid w:val="000D793C"/>
    <w:rsid w:val="000E0415"/>
    <w:rsid w:val="000E2364"/>
    <w:rsid w:val="000F7951"/>
    <w:rsid w:val="00112EEA"/>
    <w:rsid w:val="00143249"/>
    <w:rsid w:val="00146D32"/>
    <w:rsid w:val="001509BA"/>
    <w:rsid w:val="001579F4"/>
    <w:rsid w:val="001719C1"/>
    <w:rsid w:val="00183258"/>
    <w:rsid w:val="001A3C43"/>
    <w:rsid w:val="001B4B04"/>
    <w:rsid w:val="001C6663"/>
    <w:rsid w:val="001C7895"/>
    <w:rsid w:val="001D26DF"/>
    <w:rsid w:val="001E2790"/>
    <w:rsid w:val="00204F7D"/>
    <w:rsid w:val="002055A2"/>
    <w:rsid w:val="00211E0B"/>
    <w:rsid w:val="00211E72"/>
    <w:rsid w:val="002121D1"/>
    <w:rsid w:val="00214047"/>
    <w:rsid w:val="00220BC5"/>
    <w:rsid w:val="0022130F"/>
    <w:rsid w:val="00221D0B"/>
    <w:rsid w:val="002321B4"/>
    <w:rsid w:val="00232299"/>
    <w:rsid w:val="00237785"/>
    <w:rsid w:val="002410DD"/>
    <w:rsid w:val="00241466"/>
    <w:rsid w:val="00246073"/>
    <w:rsid w:val="00247168"/>
    <w:rsid w:val="00253D58"/>
    <w:rsid w:val="00267A48"/>
    <w:rsid w:val="00272653"/>
    <w:rsid w:val="00273396"/>
    <w:rsid w:val="00276A7E"/>
    <w:rsid w:val="0027725F"/>
    <w:rsid w:val="002A3BD6"/>
    <w:rsid w:val="002A71DC"/>
    <w:rsid w:val="002A7BAB"/>
    <w:rsid w:val="002B3100"/>
    <w:rsid w:val="002B641D"/>
    <w:rsid w:val="002C21F0"/>
    <w:rsid w:val="002C4118"/>
    <w:rsid w:val="002C4944"/>
    <w:rsid w:val="002D76D8"/>
    <w:rsid w:val="002E083D"/>
    <w:rsid w:val="002F4B8C"/>
    <w:rsid w:val="003046B6"/>
    <w:rsid w:val="003107FA"/>
    <w:rsid w:val="00312A25"/>
    <w:rsid w:val="00317D96"/>
    <w:rsid w:val="003229D8"/>
    <w:rsid w:val="00330565"/>
    <w:rsid w:val="003314D1"/>
    <w:rsid w:val="003321B5"/>
    <w:rsid w:val="00335A2F"/>
    <w:rsid w:val="00341937"/>
    <w:rsid w:val="00361110"/>
    <w:rsid w:val="00363C39"/>
    <w:rsid w:val="00390293"/>
    <w:rsid w:val="0039277A"/>
    <w:rsid w:val="00394107"/>
    <w:rsid w:val="003972E0"/>
    <w:rsid w:val="003975ED"/>
    <w:rsid w:val="003A5998"/>
    <w:rsid w:val="003B2F3A"/>
    <w:rsid w:val="003C2CC4"/>
    <w:rsid w:val="003D4B23"/>
    <w:rsid w:val="003E7878"/>
    <w:rsid w:val="003F4324"/>
    <w:rsid w:val="00412C31"/>
    <w:rsid w:val="00424C80"/>
    <w:rsid w:val="00427F8A"/>
    <w:rsid w:val="004325CB"/>
    <w:rsid w:val="00443B39"/>
    <w:rsid w:val="0044503A"/>
    <w:rsid w:val="00445E54"/>
    <w:rsid w:val="004467EC"/>
    <w:rsid w:val="00446DE4"/>
    <w:rsid w:val="00447761"/>
    <w:rsid w:val="00450CC4"/>
    <w:rsid w:val="00451EC3"/>
    <w:rsid w:val="00456AB1"/>
    <w:rsid w:val="00457E5D"/>
    <w:rsid w:val="004614F3"/>
    <w:rsid w:val="004624AE"/>
    <w:rsid w:val="004708E7"/>
    <w:rsid w:val="004721B1"/>
    <w:rsid w:val="004859EC"/>
    <w:rsid w:val="00496A15"/>
    <w:rsid w:val="004A08D3"/>
    <w:rsid w:val="004A5C00"/>
    <w:rsid w:val="004B75D2"/>
    <w:rsid w:val="004D1140"/>
    <w:rsid w:val="004D57E2"/>
    <w:rsid w:val="004F55ED"/>
    <w:rsid w:val="005158D6"/>
    <w:rsid w:val="0052176C"/>
    <w:rsid w:val="005261E5"/>
    <w:rsid w:val="00535A5D"/>
    <w:rsid w:val="005377FE"/>
    <w:rsid w:val="005420F2"/>
    <w:rsid w:val="00542574"/>
    <w:rsid w:val="005436AB"/>
    <w:rsid w:val="00546924"/>
    <w:rsid w:val="00546DBF"/>
    <w:rsid w:val="00551797"/>
    <w:rsid w:val="00553D76"/>
    <w:rsid w:val="005552B5"/>
    <w:rsid w:val="0056117B"/>
    <w:rsid w:val="00562621"/>
    <w:rsid w:val="00570F12"/>
    <w:rsid w:val="00571365"/>
    <w:rsid w:val="0059194B"/>
    <w:rsid w:val="005929AD"/>
    <w:rsid w:val="005936FA"/>
    <w:rsid w:val="00595E9F"/>
    <w:rsid w:val="00597F7E"/>
    <w:rsid w:val="005A0E16"/>
    <w:rsid w:val="005A3CC5"/>
    <w:rsid w:val="005A4004"/>
    <w:rsid w:val="005B3DB3"/>
    <w:rsid w:val="005B6E48"/>
    <w:rsid w:val="005C41B1"/>
    <w:rsid w:val="005C6ED7"/>
    <w:rsid w:val="005D0302"/>
    <w:rsid w:val="005D2C71"/>
    <w:rsid w:val="005D53BE"/>
    <w:rsid w:val="005E1712"/>
    <w:rsid w:val="005E7497"/>
    <w:rsid w:val="005F5330"/>
    <w:rsid w:val="005F7BA4"/>
    <w:rsid w:val="00602ADC"/>
    <w:rsid w:val="00603337"/>
    <w:rsid w:val="00611FC4"/>
    <w:rsid w:val="006149FD"/>
    <w:rsid w:val="006176FB"/>
    <w:rsid w:val="006338ED"/>
    <w:rsid w:val="00640B26"/>
    <w:rsid w:val="00655B60"/>
    <w:rsid w:val="00670741"/>
    <w:rsid w:val="00672920"/>
    <w:rsid w:val="00673AD3"/>
    <w:rsid w:val="006827F7"/>
    <w:rsid w:val="0068595A"/>
    <w:rsid w:val="006908B4"/>
    <w:rsid w:val="00696BD6"/>
    <w:rsid w:val="006A6B9D"/>
    <w:rsid w:val="006A7392"/>
    <w:rsid w:val="006B3189"/>
    <w:rsid w:val="006B7D65"/>
    <w:rsid w:val="006C76D1"/>
    <w:rsid w:val="006D1E16"/>
    <w:rsid w:val="006D6DA6"/>
    <w:rsid w:val="006E0A2E"/>
    <w:rsid w:val="006E0CCC"/>
    <w:rsid w:val="006E1A9A"/>
    <w:rsid w:val="006E564B"/>
    <w:rsid w:val="006E7121"/>
    <w:rsid w:val="006F13F0"/>
    <w:rsid w:val="006F2610"/>
    <w:rsid w:val="006F5035"/>
    <w:rsid w:val="007044B8"/>
    <w:rsid w:val="0070483E"/>
    <w:rsid w:val="007050B1"/>
    <w:rsid w:val="007065EB"/>
    <w:rsid w:val="00710946"/>
    <w:rsid w:val="00720183"/>
    <w:rsid w:val="0072632A"/>
    <w:rsid w:val="00727ACE"/>
    <w:rsid w:val="00741767"/>
    <w:rsid w:val="0074200B"/>
    <w:rsid w:val="0076279B"/>
    <w:rsid w:val="0076342B"/>
    <w:rsid w:val="00771FA3"/>
    <w:rsid w:val="00794E1E"/>
    <w:rsid w:val="007A0DEC"/>
    <w:rsid w:val="007A6296"/>
    <w:rsid w:val="007A79E4"/>
    <w:rsid w:val="007B10CA"/>
    <w:rsid w:val="007B6BA5"/>
    <w:rsid w:val="007C1B62"/>
    <w:rsid w:val="007C3390"/>
    <w:rsid w:val="007C4F4B"/>
    <w:rsid w:val="007C5841"/>
    <w:rsid w:val="007C5E3B"/>
    <w:rsid w:val="007C6511"/>
    <w:rsid w:val="007D2CDC"/>
    <w:rsid w:val="007D5327"/>
    <w:rsid w:val="007E2680"/>
    <w:rsid w:val="007E3A88"/>
    <w:rsid w:val="007F6611"/>
    <w:rsid w:val="00805CA3"/>
    <w:rsid w:val="008145F3"/>
    <w:rsid w:val="008155C3"/>
    <w:rsid w:val="008175E9"/>
    <w:rsid w:val="0082122F"/>
    <w:rsid w:val="0082243E"/>
    <w:rsid w:val="008242D7"/>
    <w:rsid w:val="008259CE"/>
    <w:rsid w:val="00827A39"/>
    <w:rsid w:val="00845995"/>
    <w:rsid w:val="0085266E"/>
    <w:rsid w:val="00856CD2"/>
    <w:rsid w:val="0086044B"/>
    <w:rsid w:val="00861135"/>
    <w:rsid w:val="00861BC6"/>
    <w:rsid w:val="008657FF"/>
    <w:rsid w:val="00870CE0"/>
    <w:rsid w:val="00871FD5"/>
    <w:rsid w:val="00873489"/>
    <w:rsid w:val="00874B67"/>
    <w:rsid w:val="008847BB"/>
    <w:rsid w:val="00891055"/>
    <w:rsid w:val="008979B1"/>
    <w:rsid w:val="008A6B25"/>
    <w:rsid w:val="008A6C4F"/>
    <w:rsid w:val="008A7012"/>
    <w:rsid w:val="008C1E4D"/>
    <w:rsid w:val="008C3D36"/>
    <w:rsid w:val="008D00CA"/>
    <w:rsid w:val="008D6A4A"/>
    <w:rsid w:val="008E0E46"/>
    <w:rsid w:val="008E3753"/>
    <w:rsid w:val="008F059A"/>
    <w:rsid w:val="0090452C"/>
    <w:rsid w:val="00907C3F"/>
    <w:rsid w:val="0092237C"/>
    <w:rsid w:val="00927E57"/>
    <w:rsid w:val="0093707B"/>
    <w:rsid w:val="009400EB"/>
    <w:rsid w:val="009427E3"/>
    <w:rsid w:val="00944283"/>
    <w:rsid w:val="0094616C"/>
    <w:rsid w:val="00946575"/>
    <w:rsid w:val="009509C1"/>
    <w:rsid w:val="00951A11"/>
    <w:rsid w:val="00956D9B"/>
    <w:rsid w:val="0095774F"/>
    <w:rsid w:val="00963CBA"/>
    <w:rsid w:val="0096489E"/>
    <w:rsid w:val="009654B7"/>
    <w:rsid w:val="009734FE"/>
    <w:rsid w:val="0097376F"/>
    <w:rsid w:val="0097419B"/>
    <w:rsid w:val="00980568"/>
    <w:rsid w:val="00980A40"/>
    <w:rsid w:val="00981F2E"/>
    <w:rsid w:val="00991261"/>
    <w:rsid w:val="00996F21"/>
    <w:rsid w:val="009A0B83"/>
    <w:rsid w:val="009B3800"/>
    <w:rsid w:val="009B3F80"/>
    <w:rsid w:val="009C3A83"/>
    <w:rsid w:val="009D22AC"/>
    <w:rsid w:val="009D50DB"/>
    <w:rsid w:val="009D721F"/>
    <w:rsid w:val="009E1C4E"/>
    <w:rsid w:val="009E2B08"/>
    <w:rsid w:val="00A0036A"/>
    <w:rsid w:val="00A01562"/>
    <w:rsid w:val="00A04F57"/>
    <w:rsid w:val="00A05C1A"/>
    <w:rsid w:val="00A05E0B"/>
    <w:rsid w:val="00A1427D"/>
    <w:rsid w:val="00A226B6"/>
    <w:rsid w:val="00A26D50"/>
    <w:rsid w:val="00A43C89"/>
    <w:rsid w:val="00A4634F"/>
    <w:rsid w:val="00A51CF3"/>
    <w:rsid w:val="00A53671"/>
    <w:rsid w:val="00A538EB"/>
    <w:rsid w:val="00A6285A"/>
    <w:rsid w:val="00A66D7F"/>
    <w:rsid w:val="00A72F22"/>
    <w:rsid w:val="00A73A8C"/>
    <w:rsid w:val="00A73D32"/>
    <w:rsid w:val="00A748A6"/>
    <w:rsid w:val="00A82787"/>
    <w:rsid w:val="00A879A4"/>
    <w:rsid w:val="00A87E95"/>
    <w:rsid w:val="00A92E29"/>
    <w:rsid w:val="00AA6547"/>
    <w:rsid w:val="00AB56CD"/>
    <w:rsid w:val="00AC5AE2"/>
    <w:rsid w:val="00AD09E9"/>
    <w:rsid w:val="00AD5F64"/>
    <w:rsid w:val="00AF0576"/>
    <w:rsid w:val="00AF33B8"/>
    <w:rsid w:val="00AF3829"/>
    <w:rsid w:val="00AF44B6"/>
    <w:rsid w:val="00B037F0"/>
    <w:rsid w:val="00B217C9"/>
    <w:rsid w:val="00B2327D"/>
    <w:rsid w:val="00B2718F"/>
    <w:rsid w:val="00B30179"/>
    <w:rsid w:val="00B3317B"/>
    <w:rsid w:val="00B334DC"/>
    <w:rsid w:val="00B3631A"/>
    <w:rsid w:val="00B41369"/>
    <w:rsid w:val="00B456E3"/>
    <w:rsid w:val="00B45BDF"/>
    <w:rsid w:val="00B53013"/>
    <w:rsid w:val="00B60899"/>
    <w:rsid w:val="00B61921"/>
    <w:rsid w:val="00B65AD2"/>
    <w:rsid w:val="00B67F5E"/>
    <w:rsid w:val="00B73E65"/>
    <w:rsid w:val="00B81E12"/>
    <w:rsid w:val="00B833AF"/>
    <w:rsid w:val="00B87110"/>
    <w:rsid w:val="00B9170E"/>
    <w:rsid w:val="00B94754"/>
    <w:rsid w:val="00B97FA8"/>
    <w:rsid w:val="00BA0C3E"/>
    <w:rsid w:val="00BA4FAB"/>
    <w:rsid w:val="00BA74AA"/>
    <w:rsid w:val="00BB3076"/>
    <w:rsid w:val="00BC1385"/>
    <w:rsid w:val="00BC2539"/>
    <w:rsid w:val="00BC74E9"/>
    <w:rsid w:val="00BD7E68"/>
    <w:rsid w:val="00BE0C5D"/>
    <w:rsid w:val="00BE33D2"/>
    <w:rsid w:val="00BE618E"/>
    <w:rsid w:val="00BE655C"/>
    <w:rsid w:val="00BF6713"/>
    <w:rsid w:val="00C20D8F"/>
    <w:rsid w:val="00C217E7"/>
    <w:rsid w:val="00C21A17"/>
    <w:rsid w:val="00C24693"/>
    <w:rsid w:val="00C35F0B"/>
    <w:rsid w:val="00C42717"/>
    <w:rsid w:val="00C463DD"/>
    <w:rsid w:val="00C51AEA"/>
    <w:rsid w:val="00C53BAE"/>
    <w:rsid w:val="00C53F4E"/>
    <w:rsid w:val="00C64458"/>
    <w:rsid w:val="00C705CA"/>
    <w:rsid w:val="00C745C3"/>
    <w:rsid w:val="00C773EB"/>
    <w:rsid w:val="00C852F1"/>
    <w:rsid w:val="00CA2A58"/>
    <w:rsid w:val="00CA4B97"/>
    <w:rsid w:val="00CC0B55"/>
    <w:rsid w:val="00CD0F6D"/>
    <w:rsid w:val="00CD620F"/>
    <w:rsid w:val="00CD6995"/>
    <w:rsid w:val="00CE4A8F"/>
    <w:rsid w:val="00CF0214"/>
    <w:rsid w:val="00CF586F"/>
    <w:rsid w:val="00CF7D43"/>
    <w:rsid w:val="00D043C2"/>
    <w:rsid w:val="00D11129"/>
    <w:rsid w:val="00D11B9B"/>
    <w:rsid w:val="00D2031B"/>
    <w:rsid w:val="00D22332"/>
    <w:rsid w:val="00D25FE2"/>
    <w:rsid w:val="00D33FC7"/>
    <w:rsid w:val="00D368B8"/>
    <w:rsid w:val="00D43252"/>
    <w:rsid w:val="00D468CF"/>
    <w:rsid w:val="00D550F9"/>
    <w:rsid w:val="00D56F6D"/>
    <w:rsid w:val="00D572B0"/>
    <w:rsid w:val="00D57F4E"/>
    <w:rsid w:val="00D62E90"/>
    <w:rsid w:val="00D67A76"/>
    <w:rsid w:val="00D73EF8"/>
    <w:rsid w:val="00D76BE5"/>
    <w:rsid w:val="00D76FFD"/>
    <w:rsid w:val="00D87993"/>
    <w:rsid w:val="00D90F60"/>
    <w:rsid w:val="00D978C6"/>
    <w:rsid w:val="00DA0FA9"/>
    <w:rsid w:val="00DA67AD"/>
    <w:rsid w:val="00DB078C"/>
    <w:rsid w:val="00DB18CE"/>
    <w:rsid w:val="00DB5566"/>
    <w:rsid w:val="00DD1E2C"/>
    <w:rsid w:val="00DD2EA5"/>
    <w:rsid w:val="00DD7E8E"/>
    <w:rsid w:val="00DE3EC0"/>
    <w:rsid w:val="00DE41A7"/>
    <w:rsid w:val="00DE7653"/>
    <w:rsid w:val="00DF604C"/>
    <w:rsid w:val="00E01C0B"/>
    <w:rsid w:val="00E1065A"/>
    <w:rsid w:val="00E11593"/>
    <w:rsid w:val="00E12B6B"/>
    <w:rsid w:val="00E130AB"/>
    <w:rsid w:val="00E41022"/>
    <w:rsid w:val="00E438D9"/>
    <w:rsid w:val="00E44252"/>
    <w:rsid w:val="00E45F66"/>
    <w:rsid w:val="00E5644E"/>
    <w:rsid w:val="00E56E55"/>
    <w:rsid w:val="00E6574E"/>
    <w:rsid w:val="00E7260F"/>
    <w:rsid w:val="00E806EE"/>
    <w:rsid w:val="00E93108"/>
    <w:rsid w:val="00E96630"/>
    <w:rsid w:val="00EB0FB9"/>
    <w:rsid w:val="00EC216D"/>
    <w:rsid w:val="00ED0CA9"/>
    <w:rsid w:val="00ED2BB0"/>
    <w:rsid w:val="00ED767C"/>
    <w:rsid w:val="00ED7A2A"/>
    <w:rsid w:val="00EF1D7F"/>
    <w:rsid w:val="00EF5BDB"/>
    <w:rsid w:val="00EF750E"/>
    <w:rsid w:val="00F07FD9"/>
    <w:rsid w:val="00F1024A"/>
    <w:rsid w:val="00F23933"/>
    <w:rsid w:val="00F24119"/>
    <w:rsid w:val="00F37E6D"/>
    <w:rsid w:val="00F40E75"/>
    <w:rsid w:val="00F42CD9"/>
    <w:rsid w:val="00F52936"/>
    <w:rsid w:val="00F54083"/>
    <w:rsid w:val="00F60CFB"/>
    <w:rsid w:val="00F6404D"/>
    <w:rsid w:val="00F677CB"/>
    <w:rsid w:val="00F67B04"/>
    <w:rsid w:val="00F702E8"/>
    <w:rsid w:val="00F70B9E"/>
    <w:rsid w:val="00F71428"/>
    <w:rsid w:val="00F71BDE"/>
    <w:rsid w:val="00F75AAB"/>
    <w:rsid w:val="00F80EBB"/>
    <w:rsid w:val="00F92CB8"/>
    <w:rsid w:val="00FA7DF3"/>
    <w:rsid w:val="00FB1AFD"/>
    <w:rsid w:val="00FC17E8"/>
    <w:rsid w:val="00FC68B7"/>
    <w:rsid w:val="00FD603F"/>
    <w:rsid w:val="00FD7C12"/>
    <w:rsid w:val="00FE0557"/>
    <w:rsid w:val="00FE652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448BA"/>
  <w15:docId w15:val="{AB29CFB7-F9F3-4E40-805C-246A4EC80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styleId="Revision">
    <w:name w:val="Revision"/>
    <w:hidden/>
    <w:uiPriority w:val="99"/>
    <w:semiHidden/>
    <w:rsid w:val="00C42717"/>
    <w:rPr>
      <w:lang w:eastAsia="en-US"/>
    </w:rPr>
  </w:style>
  <w:style w:type="character" w:customStyle="1" w:styleId="Title1">
    <w:name w:val="Title1"/>
    <w:basedOn w:val="DefaultParagraphFont"/>
    <w:rsid w:val="00312A25"/>
  </w:style>
  <w:style w:type="character" w:styleId="CommentReference">
    <w:name w:val="annotation reference"/>
    <w:basedOn w:val="DefaultParagraphFont"/>
    <w:semiHidden/>
    <w:unhideWhenUsed/>
    <w:rsid w:val="00C21A17"/>
    <w:rPr>
      <w:sz w:val="16"/>
      <w:szCs w:val="16"/>
    </w:rPr>
  </w:style>
  <w:style w:type="paragraph" w:styleId="CommentText">
    <w:name w:val="annotation text"/>
    <w:basedOn w:val="Normal"/>
    <w:link w:val="CommentTextChar"/>
    <w:unhideWhenUsed/>
    <w:rsid w:val="00C21A17"/>
    <w:pPr>
      <w:spacing w:line="240" w:lineRule="auto"/>
    </w:pPr>
  </w:style>
  <w:style w:type="character" w:customStyle="1" w:styleId="CommentTextChar">
    <w:name w:val="Comment Text Char"/>
    <w:basedOn w:val="DefaultParagraphFont"/>
    <w:link w:val="CommentText"/>
    <w:rsid w:val="00C21A17"/>
    <w:rPr>
      <w:lang w:eastAsia="en-US"/>
    </w:rPr>
  </w:style>
  <w:style w:type="paragraph" w:styleId="CommentSubject">
    <w:name w:val="annotation subject"/>
    <w:basedOn w:val="CommentText"/>
    <w:next w:val="CommentText"/>
    <w:link w:val="CommentSubjectChar"/>
    <w:semiHidden/>
    <w:unhideWhenUsed/>
    <w:rsid w:val="00C21A17"/>
    <w:rPr>
      <w:b/>
      <w:bCs/>
    </w:rPr>
  </w:style>
  <w:style w:type="character" w:customStyle="1" w:styleId="CommentSubjectChar">
    <w:name w:val="Comment Subject Char"/>
    <w:basedOn w:val="CommentTextChar"/>
    <w:link w:val="CommentSubject"/>
    <w:semiHidden/>
    <w:rsid w:val="00C21A17"/>
    <w:rPr>
      <w:b/>
      <w:bCs/>
      <w:lang w:eastAsia="en-US"/>
    </w:rPr>
  </w:style>
  <w:style w:type="character" w:styleId="UnresolvedMention">
    <w:name w:val="Unresolved Mention"/>
    <w:basedOn w:val="DefaultParagraphFont"/>
    <w:uiPriority w:val="99"/>
    <w:semiHidden/>
    <w:unhideWhenUsed/>
    <w:rsid w:val="00247168"/>
    <w:rPr>
      <w:color w:val="605E5C"/>
      <w:shd w:val="clear" w:color="auto" w:fill="E1DFDD"/>
    </w:rPr>
  </w:style>
  <w:style w:type="character" w:customStyle="1" w:styleId="SingleTxtGChar">
    <w:name w:val="_ Single Txt_G Char"/>
    <w:link w:val="SingleTxtG"/>
    <w:qFormat/>
    <w:locked/>
    <w:rsid w:val="00DF604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83665">
      <w:bodyDiv w:val="1"/>
      <w:marLeft w:val="0"/>
      <w:marRight w:val="0"/>
      <w:marTop w:val="0"/>
      <w:marBottom w:val="0"/>
      <w:divBdr>
        <w:top w:val="none" w:sz="0" w:space="0" w:color="auto"/>
        <w:left w:val="none" w:sz="0" w:space="0" w:color="auto"/>
        <w:bottom w:val="none" w:sz="0" w:space="0" w:color="auto"/>
        <w:right w:val="none" w:sz="0" w:space="0" w:color="auto"/>
      </w:divBdr>
    </w:div>
    <w:div w:id="1263223173">
      <w:bodyDiv w:val="1"/>
      <w:marLeft w:val="0"/>
      <w:marRight w:val="0"/>
      <w:marTop w:val="0"/>
      <w:marBottom w:val="0"/>
      <w:divBdr>
        <w:top w:val="none" w:sz="0" w:space="0" w:color="auto"/>
        <w:left w:val="none" w:sz="0" w:space="0" w:color="auto"/>
        <w:bottom w:val="none" w:sz="0" w:space="0" w:color="auto"/>
        <w:right w:val="none" w:sz="0" w:space="0" w:color="auto"/>
      </w:divBdr>
    </w:div>
    <w:div w:id="191897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ohchr.org/en/hr-bodies/hrc/iici-syria/document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6c6497fd-db5f-4dbd-a966-3f3fb54d46eb">English</Language>
    <Type_x0020_of_x0020_document xmlns="6c6497fd-db5f-4dbd-a966-3f3fb54d46eb">5 - As received</Type_x0020_of_x0020_document>
    <Symbol xmlns="3e1d78c2-8165-4b76-bd41-c5bb350378ab">25</Symbol>
    <Order0 xmlns="6c6497fd-db5f-4dbd-a966-3f3fb54d46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3EACAF512DCA2498907519FEF2FEAE1" ma:contentTypeVersion="54" ma:contentTypeDescription="Create a new document." ma:contentTypeScope="" ma:versionID="24b4db7b7eccfe09fc9807d22864a95b">
  <xsd:schema xmlns:xsd="http://www.w3.org/2001/XMLSchema" xmlns:xs="http://www.w3.org/2001/XMLSchema" xmlns:p="http://schemas.microsoft.com/office/2006/metadata/properties" xmlns:ns2="6c6497fd-db5f-4dbd-a966-3f3fb54d46eb" xmlns:ns3="3e1d78c2-8165-4b76-bd41-c5bb350378ab" targetNamespace="http://schemas.microsoft.com/office/2006/metadata/properties" ma:root="true" ma:fieldsID="a672bc386a02663e8cba66c825f62c48" ns2:_="" ns3:_="">
    <xsd:import namespace="6c6497fd-db5f-4dbd-a966-3f3fb54d46eb"/>
    <xsd:import namespace="3e1d78c2-8165-4b76-bd41-c5bb350378ab"/>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e1d78c2-8165-4b76-bd41-c5bb350378ab" elementFormDefault="qualified">
    <xsd:import namespace="http://schemas.microsoft.com/office/2006/documentManagement/types"/>
    <xsd:import namespace="http://schemas.microsoft.com/office/infopath/2007/PartnerControls"/>
    <xsd:element name="Symbol" ma:index="11" nillable="true" ma:displayName="Symbol" ma:list="5ca00b1b-839f-4340-bef6-c886a607cc53"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755B44-207F-4C21-8380-81544CED5EF3}">
  <ds:schemaRefs>
    <ds:schemaRef ds:uri="http://schemas.microsoft.com/office/2006/metadata/properties"/>
    <ds:schemaRef ds:uri="http://schemas.microsoft.com/office/infopath/2007/PartnerControls"/>
    <ds:schemaRef ds:uri="cd363d60-c3fb-4279-bb3e-0ba290b6ed81"/>
    <ds:schemaRef ds:uri="985ec44e-1bab-4c0b-9df0-6ba128686fc9"/>
  </ds:schemaRefs>
</ds:datastoreItem>
</file>

<file path=customXml/itemProps2.xml><?xml version="1.0" encoding="utf-8"?>
<ds:datastoreItem xmlns:ds="http://schemas.openxmlformats.org/officeDocument/2006/customXml" ds:itemID="{C20B5BE3-D8B3-4A6F-8D89-276695589446}">
  <ds:schemaRefs>
    <ds:schemaRef ds:uri="http://schemas.microsoft.com/sharepoint/v3/contenttype/forms"/>
  </ds:schemaRefs>
</ds:datastoreItem>
</file>

<file path=customXml/itemProps3.xml><?xml version="1.0" encoding="utf-8"?>
<ds:datastoreItem xmlns:ds="http://schemas.openxmlformats.org/officeDocument/2006/customXml" ds:itemID="{1A5FC785-ED0D-49CD-AC27-1A5310EBD6B7}">
  <ds:schemaRefs>
    <ds:schemaRef ds:uri="http://schemas.openxmlformats.org/officeDocument/2006/bibliography"/>
  </ds:schemaRefs>
</ds:datastoreItem>
</file>

<file path=customXml/itemProps4.xml><?xml version="1.0" encoding="utf-8"?>
<ds:datastoreItem xmlns:ds="http://schemas.openxmlformats.org/officeDocument/2006/customXml" ds:itemID="{203F283C-C342-4909-8629-1032D237E6CA}"/>
</file>

<file path=docMetadata/LabelInfo.xml><?xml version="1.0" encoding="utf-8"?>
<clbl:labelList xmlns:clbl="http://schemas.microsoft.com/office/2020/mipLabelMetadata">
  <clbl:label id="{8b77875e-5908-45a0-9cb4-dec9ae074618}" enabled="1" method="Privileged" siteId="{0f9e35db-544f-4f60-bdcc-5ea416e6dc70}" removed="0"/>
  <clbl:label id="{e15c0bf4-4fcf-490e-a436-5b2e5bba7512}" enabled="1" method="Privileged" siteId="{d3a2d0d3-7cc8-4f52-bbf9-85bd43d94279}" removed="0"/>
</clbl:labelList>
</file>

<file path=docProps/app.xml><?xml version="1.0" encoding="utf-8"?>
<Properties xmlns="http://schemas.openxmlformats.org/officeDocument/2006/extended-properties" xmlns:vt="http://schemas.openxmlformats.org/officeDocument/2006/docPropsVTypes">
  <Template>A_E</Template>
  <TotalTime>6</TotalTime>
  <Pages>5</Pages>
  <Words>2895</Words>
  <Characters>16507</Characters>
  <Application>Microsoft Office Word</Application>
  <DocSecurity>0</DocSecurity>
  <Lines>137</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A/HRC/RES/58/25</vt:lpstr>
      <vt:lpstr/>
    </vt:vector>
  </TitlesOfParts>
  <Company>CSD</Company>
  <LinksUpToDate>false</LinksUpToDate>
  <CharactersWithSpaces>19364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A/HRC/RES/58/25</dc:title>
  <dc:subject>2505556</dc:subject>
  <dc:creator>Sumiko IHARA</dc:creator>
  <cp:keywords/>
  <dc:description/>
  <cp:lastModifiedBy>Matias Pellado</cp:lastModifiedBy>
  <cp:revision>9</cp:revision>
  <cp:lastPrinted>2008-01-29T08:30:00Z</cp:lastPrinted>
  <dcterms:created xsi:type="dcterms:W3CDTF">2026-03-17T16:10:00Z</dcterms:created>
  <dcterms:modified xsi:type="dcterms:W3CDTF">2026-03-17T16:16:00Z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0x01010043EACAF512DCA2498907519FEF2FEAE1</vt:lpwstr>
  </property>
  <property fmtid="{D5CDD505-2E9C-101B-9397-08002B2CF9AE}" pid="3" name="Order">
    <vt:r8>100</vt:r8>
  </property>
  <property fmtid="{D5CDD505-2E9C-101B-9397-08002B2CF9AE}" pid="4" name="MediaServiceImageTags">
    <vt:lpwstr/>
  </property>
</Properties>
</file>