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49B2DE" w14:textId="77777777" w:rsidR="00FC38F6" w:rsidRPr="00FC38F6" w:rsidRDefault="00FC38F6" w:rsidP="00FC38F6">
      <w:pPr>
        <w:rPr>
          <w:b/>
          <w:color w:val="0000CC"/>
        </w:rPr>
      </w:pPr>
      <w:r w:rsidRPr="00FC38F6">
        <w:rPr>
          <w:b/>
          <w:color w:val="0000CC"/>
        </w:rPr>
        <w:t>FOR SECRETARIAT USE ONLY</w:t>
      </w:r>
    </w:p>
    <w:p w14:paraId="6B5F93F6" w14:textId="7B4ADBF4" w:rsidR="00FC38F6" w:rsidRPr="00FC38F6" w:rsidRDefault="00FC38F6" w:rsidP="00FC38F6">
      <w:pPr>
        <w:rPr>
          <w:b/>
          <w:color w:val="0000CC"/>
        </w:rPr>
      </w:pPr>
      <w:r w:rsidRPr="00FC38F6">
        <w:rPr>
          <w:b/>
          <w:color w:val="0000CC"/>
        </w:rPr>
        <w:t>A/HRC/62/L.1</w:t>
      </w:r>
      <w:r>
        <w:rPr>
          <w:b/>
          <w:color w:val="0000CC"/>
        </w:rPr>
        <w:t>1</w:t>
      </w:r>
    </w:p>
    <w:p w14:paraId="4CBC2FBD" w14:textId="4DCFB58B" w:rsidR="00FC38F6" w:rsidRPr="00FC38F6" w:rsidRDefault="00FC38F6" w:rsidP="00FC38F6">
      <w:pPr>
        <w:rPr>
          <w:b/>
          <w:color w:val="0000CC"/>
        </w:rPr>
      </w:pPr>
      <w:r w:rsidRPr="00FC38F6">
        <w:rPr>
          <w:b/>
          <w:color w:val="0000CC"/>
        </w:rPr>
        <w:t xml:space="preserve">Item </w:t>
      </w:r>
      <w:r>
        <w:rPr>
          <w:b/>
          <w:color w:val="0000CC"/>
        </w:rPr>
        <w:t>3</w:t>
      </w:r>
    </w:p>
    <w:p w14:paraId="6A804ABC" w14:textId="43B51F93" w:rsidR="00FC38F6" w:rsidRPr="00FC38F6" w:rsidRDefault="00FC38F6" w:rsidP="00FC38F6">
      <w:pPr>
        <w:rPr>
          <w:b/>
          <w:color w:val="0000CC"/>
        </w:rPr>
      </w:pPr>
      <w:r w:rsidRPr="00FC38F6">
        <w:rPr>
          <w:b/>
          <w:color w:val="0000CC"/>
        </w:rPr>
        <w:t xml:space="preserve">Received from (main sponsors): </w:t>
      </w:r>
      <w:r w:rsidR="002031F0" w:rsidRPr="002031F0">
        <w:rPr>
          <w:b/>
          <w:color w:val="0000CC"/>
        </w:rPr>
        <w:t>Sweden*, Finland</w:t>
      </w:r>
      <w:r w:rsidR="002031F0" w:rsidRPr="002031F0">
        <w:rPr>
          <w:b/>
          <w:color w:val="0000CC"/>
        </w:rPr>
        <w:t>*</w:t>
      </w:r>
    </w:p>
    <w:p w14:paraId="56C00FC6" w14:textId="3922FBF8" w:rsidR="00FC38F6" w:rsidRPr="00FC38F6" w:rsidRDefault="00FC38F6" w:rsidP="00FC38F6">
      <w:pPr>
        <w:rPr>
          <w:b/>
          <w:color w:val="0000CC"/>
        </w:rPr>
      </w:pPr>
      <w:r w:rsidRPr="00FC38F6">
        <w:rPr>
          <w:b/>
          <w:color w:val="0000CC"/>
        </w:rPr>
        <w:t>Date and time: 24/06/2026, 15:</w:t>
      </w:r>
      <w:r w:rsidR="002031F0">
        <w:rPr>
          <w:b/>
          <w:color w:val="0000CC"/>
        </w:rPr>
        <w:t>37</w:t>
      </w:r>
    </w:p>
    <w:p w14:paraId="2129F3FA" w14:textId="77777777" w:rsidR="00FC38F6" w:rsidRPr="00FC38F6" w:rsidRDefault="00FC38F6" w:rsidP="00FC38F6">
      <w:pPr>
        <w:rPr>
          <w:b/>
          <w:color w:val="0000CC"/>
        </w:rPr>
      </w:pPr>
      <w:r w:rsidRPr="00FC38F6">
        <w:rPr>
          <w:b/>
          <w:color w:val="0000CC"/>
        </w:rPr>
        <w:t>Initials: MP</w:t>
      </w:r>
    </w:p>
    <w:p w14:paraId="61817783" w14:textId="5BD360AB" w:rsidR="00FC38F6" w:rsidRPr="00FC38F6" w:rsidRDefault="00FC38F6" w:rsidP="00FC38F6">
      <w:pPr>
        <w:rPr>
          <w:b/>
          <w:color w:val="0000CC"/>
        </w:rPr>
      </w:pPr>
      <w:r w:rsidRPr="00FC38F6">
        <w:rPr>
          <w:b/>
          <w:color w:val="0000CC"/>
        </w:rPr>
        <w:t xml:space="preserve">Page 1 of </w:t>
      </w:r>
      <w:r w:rsidR="002031F0">
        <w:rPr>
          <w:b/>
          <w:color w:val="0000CC"/>
        </w:rPr>
        <w:t>3</w:t>
      </w:r>
    </w:p>
    <w:p w14:paraId="6115532B" w14:textId="4914A262" w:rsidR="00EE06CD" w:rsidRPr="00B8293F" w:rsidRDefault="009D644C" w:rsidP="009D40E1">
      <w:pPr>
        <w:keepNext/>
        <w:keepLines/>
        <w:spacing w:before="360" w:after="240" w:line="270" w:lineRule="exact"/>
        <w:ind w:left="1134" w:right="1134" w:hanging="992"/>
        <w:rPr>
          <w:b/>
          <w:bCs/>
          <w:sz w:val="24"/>
        </w:rPr>
      </w:pPr>
      <w:r w:rsidRPr="00B8293F">
        <w:rPr>
          <w:b/>
          <w:sz w:val="24"/>
        </w:rPr>
        <w:t>.</w:t>
      </w:r>
      <w:r w:rsidR="00573350" w:rsidRPr="00B8293F">
        <w:rPr>
          <w:b/>
          <w:sz w:val="24"/>
        </w:rPr>
        <w:tab/>
      </w:r>
      <w:r w:rsidR="006F2688" w:rsidRPr="00B8293F">
        <w:rPr>
          <w:b/>
          <w:bCs/>
          <w:sz w:val="24"/>
        </w:rPr>
        <w:t>Mandate of the Special Rapporteur on extrajudicial, summary or arbitrary executions</w:t>
      </w:r>
    </w:p>
    <w:p w14:paraId="0A2495DE" w14:textId="77777777" w:rsidR="00EE06CD" w:rsidRPr="00B8293F" w:rsidRDefault="00EE06CD" w:rsidP="00EE06CD">
      <w:pPr>
        <w:spacing w:after="120"/>
        <w:ind w:left="1134" w:right="1134"/>
        <w:jc w:val="both"/>
      </w:pPr>
      <w:r w:rsidRPr="00B8293F">
        <w:tab/>
      </w:r>
      <w:r w:rsidR="001C74C0" w:rsidRPr="00B8293F">
        <w:tab/>
      </w:r>
      <w:r w:rsidRPr="00B8293F">
        <w:rPr>
          <w:i/>
        </w:rPr>
        <w:t>The Human Rights Council</w:t>
      </w:r>
      <w:r w:rsidRPr="00B8293F">
        <w:t>,</w:t>
      </w:r>
    </w:p>
    <w:p w14:paraId="38961D65" w14:textId="675FAB42" w:rsidR="009C6942" w:rsidRPr="00B8293F" w:rsidRDefault="009C6942" w:rsidP="009C6942">
      <w:pPr>
        <w:spacing w:after="120"/>
        <w:ind w:left="1134" w:right="1134" w:firstLine="567"/>
        <w:jc w:val="both"/>
      </w:pPr>
      <w:r w:rsidRPr="00B8293F">
        <w:rPr>
          <w:i/>
          <w:iCs/>
        </w:rPr>
        <w:t>Recalling</w:t>
      </w:r>
      <w:r w:rsidRPr="00B8293F">
        <w:t xml:space="preserve"> the Universal Declaration of Human Rights, which guarantees the right to life, liberty and security of person, and the relevant provisions of the International Covenant on Civil and Political Rights</w:t>
      </w:r>
      <w:r w:rsidR="009218B8" w:rsidRPr="00B8293F">
        <w:t xml:space="preserve">, and other relevant human rights conventions, </w:t>
      </w:r>
    </w:p>
    <w:p w14:paraId="71F28AEC" w14:textId="5C39DEEA" w:rsidR="009C6942" w:rsidRPr="00B8293F" w:rsidRDefault="009C6942" w:rsidP="009C6942">
      <w:pPr>
        <w:spacing w:after="120"/>
        <w:ind w:left="1134" w:right="1134" w:firstLine="567"/>
        <w:jc w:val="both"/>
      </w:pPr>
      <w:r w:rsidRPr="00B8293F">
        <w:rPr>
          <w:i/>
          <w:iCs/>
        </w:rPr>
        <w:t>Having regard</w:t>
      </w:r>
      <w:r w:rsidRPr="00B8293F">
        <w:t xml:space="preserve"> to the legal framework of the mandate of the Special Rapporteur on extrajudicial, summary or arbitrary executions, including the provisions contained in Commission on Human Rights resolution 1992/72 of 5 March 1992 and General Assembly resolution 47/136 of 18 December 1992, </w:t>
      </w:r>
    </w:p>
    <w:p w14:paraId="00C87AC5" w14:textId="33298BFA" w:rsidR="009C6942" w:rsidRPr="00B8293F" w:rsidRDefault="009C6942" w:rsidP="009C6942">
      <w:pPr>
        <w:spacing w:after="120"/>
        <w:ind w:left="1134" w:right="1134" w:firstLine="567"/>
        <w:jc w:val="both"/>
      </w:pPr>
      <w:r w:rsidRPr="00B8293F">
        <w:rPr>
          <w:i/>
          <w:iCs/>
        </w:rPr>
        <w:t>Welcoming</w:t>
      </w:r>
      <w:r w:rsidRPr="00B8293F">
        <w:t xml:space="preserve"> the universal ratification of the Geneva Conventions of 12 August 1949, which alongside human rights law provide an important framework of accountability in relation to extrajudicial, summary or arbitrary executions, </w:t>
      </w:r>
    </w:p>
    <w:p w14:paraId="261A94EF" w14:textId="5BEBCEE9" w:rsidR="009C6942" w:rsidRPr="00B8293F" w:rsidRDefault="009C6942" w:rsidP="009C6942">
      <w:pPr>
        <w:spacing w:after="120"/>
        <w:ind w:left="1134" w:right="1134" w:firstLine="567"/>
        <w:jc w:val="both"/>
      </w:pPr>
      <w:r w:rsidRPr="00B8293F">
        <w:rPr>
          <w:i/>
          <w:iCs/>
        </w:rPr>
        <w:t>Bearing in mind</w:t>
      </w:r>
      <w:r w:rsidRPr="00B8293F">
        <w:t xml:space="preserve"> paragraph 6 of General Assembly resolution 60/251 of 15 March 2006, </w:t>
      </w:r>
    </w:p>
    <w:p w14:paraId="64D06599" w14:textId="5F1BDE4A" w:rsidR="009C6942" w:rsidRPr="00B8293F" w:rsidRDefault="009C6942" w:rsidP="009C6942">
      <w:pPr>
        <w:spacing w:after="120"/>
        <w:ind w:left="1134" w:right="1134" w:firstLine="567"/>
        <w:jc w:val="both"/>
      </w:pPr>
      <w:r w:rsidRPr="00B8293F">
        <w:rPr>
          <w:i/>
          <w:iCs/>
        </w:rPr>
        <w:t>Recalling</w:t>
      </w:r>
      <w:r w:rsidRPr="00B8293F">
        <w:t xml:space="preserve"> Human Rights Council resolutions 5/1, on institution-building of the Council, and 5/2, on the Code of Conduct for Special Procedures Mandate Holders of the Council, of 18 June 2007, and stressing that the mandate holder shall </w:t>
      </w:r>
      <w:r w:rsidR="00505818" w:rsidRPr="00B8293F">
        <w:t>discharge his or h</w:t>
      </w:r>
      <w:r w:rsidR="008E5AB9" w:rsidRPr="00B8293F">
        <w:t>e</w:t>
      </w:r>
      <w:r w:rsidR="00505818" w:rsidRPr="00B8293F">
        <w:t>r dut</w:t>
      </w:r>
      <w:r w:rsidR="008E5AB9" w:rsidRPr="00B8293F">
        <w:t>ies</w:t>
      </w:r>
      <w:r w:rsidR="00046EAD" w:rsidRPr="00B8293F">
        <w:t xml:space="preserve"> </w:t>
      </w:r>
      <w:r w:rsidRPr="00B8293F">
        <w:t xml:space="preserve">in accordance with those resolutions and the annexes thereto, </w:t>
      </w:r>
    </w:p>
    <w:p w14:paraId="29D67C95" w14:textId="3A07C821" w:rsidR="009C6942" w:rsidRPr="00B8293F" w:rsidRDefault="009C6942" w:rsidP="009C6942">
      <w:pPr>
        <w:spacing w:after="120"/>
        <w:ind w:left="1134" w:right="1134" w:firstLine="567"/>
        <w:jc w:val="both"/>
        <w:rPr>
          <w:color w:val="C00000"/>
          <w:u w:val="single"/>
        </w:rPr>
      </w:pPr>
      <w:r w:rsidRPr="00B8293F">
        <w:rPr>
          <w:i/>
          <w:iCs/>
        </w:rPr>
        <w:t>Mindful</w:t>
      </w:r>
      <w:r w:rsidRPr="00B8293F">
        <w:t xml:space="preserve"> of all relevant General Assembly, Human Rights Council and Commission on Human Rights resolutions on extrajudicial, summary or arbitrary executions, in particular Commission resolution 2004/37 of 19 April 2004, Council resolutions 8/3 of 18 June 2008, 17/5 of 16 June 2011, 26/12 of 26 June 2014</w:t>
      </w:r>
      <w:r w:rsidR="00574308" w:rsidRPr="00B8293F">
        <w:t xml:space="preserve">, </w:t>
      </w:r>
      <w:r w:rsidRPr="00B8293F">
        <w:t xml:space="preserve"> 35/15 of 22 June 2017,</w:t>
      </w:r>
      <w:r w:rsidR="00574308" w:rsidRPr="00B8293F">
        <w:t xml:space="preserve"> 44/5 of 16 July 2020</w:t>
      </w:r>
      <w:r w:rsidRPr="00B8293F">
        <w:t xml:space="preserve"> </w:t>
      </w:r>
      <w:r w:rsidR="00574308" w:rsidRPr="00B8293F">
        <w:t xml:space="preserve">and 53/4 of 12 July 2023 </w:t>
      </w:r>
      <w:r w:rsidRPr="00B8293F">
        <w:t>and Assembly resolutions 61/173 of 19 December 2006, 65/208 of 21 December 2010, 67/168 of 20 December 2012, 69/182 of 18 December 2014, 71/198 of 19 December 2016 and 73/172 of 17 December 2018</w:t>
      </w:r>
      <w:r w:rsidR="009218B8" w:rsidRPr="00B8293F">
        <w:t xml:space="preserve">, </w:t>
      </w:r>
      <w:bookmarkStart w:id="0" w:name="_Hlk137026346"/>
      <w:r w:rsidR="009218B8" w:rsidRPr="00B8293F">
        <w:rPr>
          <w:spacing w:val="-2"/>
        </w:rPr>
        <w:t>75/189 of 16 December 2020</w:t>
      </w:r>
      <w:r w:rsidR="00574308" w:rsidRPr="00B8293F">
        <w:rPr>
          <w:spacing w:val="-2"/>
        </w:rPr>
        <w:t>,</w:t>
      </w:r>
      <w:bookmarkEnd w:id="0"/>
      <w:r w:rsidR="009218B8" w:rsidRPr="00B8293F">
        <w:t>77/218 of 15 December 2022</w:t>
      </w:r>
      <w:r w:rsidR="00574308" w:rsidRPr="00B8293F">
        <w:t xml:space="preserve"> and 79/</w:t>
      </w:r>
      <w:r w:rsidR="00224D3A" w:rsidRPr="00B8293F">
        <w:t>176</w:t>
      </w:r>
      <w:r w:rsidR="00574308" w:rsidRPr="00B8293F">
        <w:t xml:space="preserve"> of </w:t>
      </w:r>
      <w:r w:rsidR="00224D3A" w:rsidRPr="00B8293F">
        <w:t>19 December</w:t>
      </w:r>
      <w:r w:rsidR="00574308" w:rsidRPr="00B8293F">
        <w:t xml:space="preserve"> 2024</w:t>
      </w:r>
    </w:p>
    <w:p w14:paraId="247621C5" w14:textId="74D38976" w:rsidR="009C6942" w:rsidRPr="00B8293F" w:rsidRDefault="009C6942" w:rsidP="009C6942">
      <w:pPr>
        <w:spacing w:after="120"/>
        <w:ind w:left="1134" w:right="1134" w:firstLine="567"/>
        <w:jc w:val="both"/>
      </w:pPr>
      <w:r w:rsidRPr="00B8293F">
        <w:rPr>
          <w:i/>
          <w:iCs/>
        </w:rPr>
        <w:t>Acknowledging</w:t>
      </w:r>
      <w:r w:rsidRPr="00B8293F">
        <w:t xml:space="preserve"> that extrajudicial, summary or arbitrary executions are crimes under the Rome Statute of the International Criminal Court,</w:t>
      </w:r>
    </w:p>
    <w:p w14:paraId="62FA3A89" w14:textId="2C0DC33B" w:rsidR="009C6942" w:rsidRPr="00B8293F" w:rsidRDefault="009C6942" w:rsidP="009C6942">
      <w:pPr>
        <w:spacing w:after="120"/>
        <w:ind w:left="1134" w:right="1134" w:firstLine="567"/>
        <w:jc w:val="both"/>
      </w:pPr>
      <w:r w:rsidRPr="00B8293F">
        <w:rPr>
          <w:i/>
          <w:iCs/>
        </w:rPr>
        <w:t>Convinced</w:t>
      </w:r>
      <w:r w:rsidRPr="00B8293F">
        <w:t xml:space="preserve"> of the need </w:t>
      </w:r>
      <w:r w:rsidR="001B6DE4" w:rsidRPr="00B8293F">
        <w:t xml:space="preserve">both </w:t>
      </w:r>
      <w:r w:rsidRPr="00B8293F">
        <w:t xml:space="preserve">for effective </w:t>
      </w:r>
      <w:r w:rsidR="001B6DE4" w:rsidRPr="00B8293F">
        <w:t>action</w:t>
      </w:r>
      <w:r w:rsidR="007E11A7" w:rsidRPr="00B8293F">
        <w:t>,</w:t>
      </w:r>
      <w:r w:rsidR="001B6DE4" w:rsidRPr="00B8293F">
        <w:t xml:space="preserve"> and </w:t>
      </w:r>
      <w:r w:rsidR="009B311F" w:rsidRPr="00B8293F">
        <w:t xml:space="preserve">for </w:t>
      </w:r>
      <w:r w:rsidR="001B6DE4" w:rsidRPr="00B8293F">
        <w:t xml:space="preserve">remedies </w:t>
      </w:r>
      <w:r w:rsidR="007E11A7" w:rsidRPr="00B8293F">
        <w:t>for</w:t>
      </w:r>
      <w:r w:rsidR="001B6DE4" w:rsidRPr="00B8293F">
        <w:t xml:space="preserve"> victims and their families</w:t>
      </w:r>
      <w:r w:rsidR="007E11A7" w:rsidRPr="00B8293F">
        <w:t>,</w:t>
      </w:r>
      <w:r w:rsidR="001B6DE4" w:rsidRPr="00B8293F">
        <w:t xml:space="preserve"> in order</w:t>
      </w:r>
      <w:r w:rsidRPr="00B8293F">
        <w:t xml:space="preserve"> to </w:t>
      </w:r>
      <w:r w:rsidR="001B6DE4" w:rsidRPr="00B8293F">
        <w:t>prevent,</w:t>
      </w:r>
      <w:r w:rsidR="00340F59" w:rsidRPr="00B8293F">
        <w:t xml:space="preserve"> </w:t>
      </w:r>
      <w:r w:rsidRPr="00B8293F">
        <w:t>combat and eliminate the abhorrent practice of extrajudicial, summary or arbitrary executions, which represent a flagrant violation of the inherent right to life</w:t>
      </w:r>
      <w:r w:rsidR="00BD4DBB" w:rsidRPr="00B8293F">
        <w:t>,</w:t>
      </w:r>
      <w:r w:rsidRPr="00B8293F">
        <w:t xml:space="preserve"> </w:t>
      </w:r>
    </w:p>
    <w:p w14:paraId="34A48DE9" w14:textId="0226D3C8" w:rsidR="009C6942" w:rsidRPr="00B8293F" w:rsidRDefault="009C6942" w:rsidP="009C6942">
      <w:pPr>
        <w:spacing w:after="120"/>
        <w:ind w:left="1134" w:right="1134" w:firstLine="567"/>
        <w:jc w:val="both"/>
      </w:pPr>
      <w:r w:rsidRPr="00B8293F">
        <w:rPr>
          <w:i/>
          <w:iCs/>
        </w:rPr>
        <w:t>Dismayed</w:t>
      </w:r>
      <w:r w:rsidRPr="00B8293F">
        <w:t xml:space="preserve"> that, in a number of countries,</w:t>
      </w:r>
      <w:r w:rsidR="00465508" w:rsidRPr="00B8293F">
        <w:t xml:space="preserve"> including in situations of armed conflict and occupation,</w:t>
      </w:r>
      <w:r w:rsidRPr="00B8293F">
        <w:t xml:space="preserve"> impunity, the negation of justice, continues to prevail and often remains the main cause of the continued occurrence of extrajudicial, summary or arbitrary executions, </w:t>
      </w:r>
    </w:p>
    <w:p w14:paraId="27E4EBF4" w14:textId="77777777" w:rsidR="009C6942" w:rsidRPr="00B8293F" w:rsidRDefault="009C6942" w:rsidP="009C6942">
      <w:pPr>
        <w:spacing w:after="120"/>
        <w:ind w:left="1134" w:right="1134" w:firstLine="567"/>
        <w:jc w:val="both"/>
      </w:pPr>
      <w:r w:rsidRPr="00B8293F">
        <w:t>1.</w:t>
      </w:r>
      <w:r w:rsidRPr="00B8293F">
        <w:tab/>
      </w:r>
      <w:r w:rsidRPr="00B8293F">
        <w:rPr>
          <w:i/>
          <w:iCs/>
        </w:rPr>
        <w:t>Strongly condemns once again</w:t>
      </w:r>
      <w:r w:rsidRPr="00B8293F">
        <w:t xml:space="preserve"> all extrajudicial, summary or arbitrary executions, in all their forms, that continue to take place throughout the world; </w:t>
      </w:r>
    </w:p>
    <w:p w14:paraId="143CADFC" w14:textId="77777777" w:rsidR="009C6942" w:rsidRPr="00B8293F" w:rsidRDefault="009C6942" w:rsidP="009C6942">
      <w:pPr>
        <w:spacing w:after="120"/>
        <w:ind w:left="1134" w:right="1134" w:firstLine="567"/>
        <w:jc w:val="both"/>
      </w:pPr>
      <w:r w:rsidRPr="00B8293F">
        <w:t>2.</w:t>
      </w:r>
      <w:r w:rsidRPr="00B8293F">
        <w:tab/>
      </w:r>
      <w:r w:rsidRPr="00B8293F">
        <w:rPr>
          <w:i/>
          <w:iCs/>
        </w:rPr>
        <w:t>Acknowledges</w:t>
      </w:r>
      <w:r w:rsidRPr="00B8293F">
        <w:t xml:space="preserve"> the importance of relevant special procedures of the Human Rights Council, in particular the Special Rapporteur on extrajudicial, summary or arbitrary executions, in their key role as early warning mechanisms in preventing the crime of genocide, crimes against humanity and war crimes, and encourages the relevant special procedures, within their mandates, to cooperate towards this end; </w:t>
      </w:r>
    </w:p>
    <w:p w14:paraId="76EB54D1" w14:textId="3CD8B082" w:rsidR="009C6942" w:rsidRPr="00B8293F" w:rsidRDefault="009C6942" w:rsidP="009C6942">
      <w:pPr>
        <w:spacing w:after="120"/>
        <w:ind w:left="1134" w:right="1134" w:firstLine="567"/>
        <w:jc w:val="both"/>
      </w:pPr>
      <w:r w:rsidRPr="00B8293F">
        <w:lastRenderedPageBreak/>
        <w:t>3.</w:t>
      </w:r>
      <w:r w:rsidRPr="00B8293F">
        <w:tab/>
      </w:r>
      <w:r w:rsidRPr="00B8293F">
        <w:rPr>
          <w:i/>
          <w:iCs/>
        </w:rPr>
        <w:t>Demands</w:t>
      </w:r>
      <w:r w:rsidRPr="00B8293F">
        <w:t xml:space="preserve"> that all States ensure that the practice of extrajudicial, summary or arbitrary executions is brought to an end and that they take effective action to</w:t>
      </w:r>
      <w:r w:rsidR="001B6DE4" w:rsidRPr="00B8293F">
        <w:t xml:space="preserve"> prevent,</w:t>
      </w:r>
      <w:r w:rsidRPr="00B8293F">
        <w:t xml:space="preserve"> combat and eliminate the phenomenon in all its forms; </w:t>
      </w:r>
    </w:p>
    <w:p w14:paraId="46006096" w14:textId="0FE47D71" w:rsidR="00B12474" w:rsidRDefault="009C6942" w:rsidP="002725A5">
      <w:pPr>
        <w:suppressAutoHyphens w:val="0"/>
        <w:spacing w:line="240" w:lineRule="auto"/>
        <w:ind w:left="1134" w:right="1134" w:firstLine="567"/>
        <w:jc w:val="both"/>
      </w:pPr>
      <w:r w:rsidRPr="00B8293F">
        <w:t>4.</w:t>
      </w:r>
      <w:r w:rsidRPr="00B8293F">
        <w:tab/>
      </w:r>
      <w:r w:rsidRPr="00B8293F">
        <w:rPr>
          <w:i/>
          <w:iCs/>
        </w:rPr>
        <w:t xml:space="preserve">Reiterates </w:t>
      </w:r>
      <w:r w:rsidRPr="00B8293F">
        <w:t xml:space="preserve">the obligation of all States to conduct </w:t>
      </w:r>
      <w:r w:rsidR="009218B8" w:rsidRPr="00B8293F">
        <w:t>prompt, effective, thorough, independent</w:t>
      </w:r>
      <w:r w:rsidR="00B447CE" w:rsidRPr="00B8293F">
        <w:t xml:space="preserve">, </w:t>
      </w:r>
      <w:r w:rsidRPr="00B8293F">
        <w:t xml:space="preserve">impartial </w:t>
      </w:r>
      <w:r w:rsidR="009218B8" w:rsidRPr="00B8293F">
        <w:t xml:space="preserve">and transparent </w:t>
      </w:r>
      <w:r w:rsidRPr="00B8293F">
        <w:t>investigations into all suspected cases of extrajudicial, summary or arbitrary executions,</w:t>
      </w:r>
      <w:r w:rsidR="009218B8" w:rsidRPr="00B8293F">
        <w:t xml:space="preserve"> exercising due diligence, in line with international standards and forensic best practices, and in this regard takes note of the Revised United Nations Manual on the Effective Prevention and Investigation of Extralegal, Arbitrary and Summary </w:t>
      </w:r>
      <w:r w:rsidR="009218B8" w:rsidRPr="00B8293F">
        <w:rPr>
          <w:spacing w:val="-2"/>
        </w:rPr>
        <w:t>Executions</w:t>
      </w:r>
      <w:r w:rsidR="009218B8" w:rsidRPr="00B8293F">
        <w:rPr>
          <w:rStyle w:val="FootnoteReference"/>
          <w:spacing w:val="-2"/>
          <w:sz w:val="20"/>
        </w:rPr>
        <w:footnoteReference w:id="2"/>
      </w:r>
      <w:r w:rsidR="009218B8" w:rsidRPr="00B8293F">
        <w:rPr>
          <w:spacing w:val="-2"/>
        </w:rPr>
        <w:t>,</w:t>
      </w:r>
      <w:r w:rsidRPr="00B8293F">
        <w:t xml:space="preserve"> to identify and to bring to justice those responsible, while ensuring the right of every person to a fair and public hearing by a competent, independent and impartial tribunal established by law, to grant adequate</w:t>
      </w:r>
      <w:r w:rsidR="00135FC8" w:rsidRPr="00B8293F">
        <w:t>, effective and prompt</w:t>
      </w:r>
      <w:r w:rsidR="001B6DE4" w:rsidRPr="00B8293F">
        <w:t xml:space="preserve"> remedies, including</w:t>
      </w:r>
      <w:r w:rsidR="00135FC8" w:rsidRPr="00B8293F">
        <w:rPr>
          <w:spacing w:val="-5"/>
        </w:rPr>
        <w:t xml:space="preserve"> </w:t>
      </w:r>
      <w:r w:rsidR="00135FC8" w:rsidRPr="00B8293F">
        <w:t>reparation</w:t>
      </w:r>
      <w:r w:rsidR="00135FC8" w:rsidRPr="00B8293F">
        <w:rPr>
          <w:spacing w:val="-4"/>
        </w:rPr>
        <w:t xml:space="preserve"> </w:t>
      </w:r>
      <w:r w:rsidRPr="00B8293F">
        <w:t xml:space="preserve">to the victims or their families and to adopt all necessary measures, including legal and judicial measures, in order to bring an end to impunity and to prevent the recurrence of such executions; </w:t>
      </w:r>
    </w:p>
    <w:p w14:paraId="4AD0927F" w14:textId="77777777" w:rsidR="002725A5" w:rsidRPr="00B8293F" w:rsidRDefault="002725A5" w:rsidP="002725A5">
      <w:pPr>
        <w:suppressAutoHyphens w:val="0"/>
        <w:spacing w:line="240" w:lineRule="auto"/>
        <w:ind w:left="1134" w:right="1134" w:firstLine="567"/>
        <w:jc w:val="both"/>
      </w:pPr>
    </w:p>
    <w:p w14:paraId="52BF48BC" w14:textId="3E90ED8D" w:rsidR="009C6942" w:rsidRPr="00B8293F" w:rsidRDefault="009C6942" w:rsidP="009C6942">
      <w:pPr>
        <w:spacing w:after="120"/>
        <w:ind w:left="1134" w:right="1134" w:firstLine="567"/>
        <w:jc w:val="both"/>
      </w:pPr>
      <w:r w:rsidRPr="00B8293F">
        <w:t>5.</w:t>
      </w:r>
      <w:r w:rsidRPr="00B8293F">
        <w:tab/>
      </w:r>
      <w:r w:rsidRPr="00B8293F">
        <w:rPr>
          <w:i/>
          <w:iCs/>
        </w:rPr>
        <w:t>Welcomes</w:t>
      </w:r>
      <w:r w:rsidRPr="00B8293F">
        <w:t xml:space="preserve"> the work of the Special Rapporteur on extrajudicial, summary or arbitrary executions, and </w:t>
      </w:r>
      <w:r w:rsidR="00AF611B" w:rsidRPr="00B8293F">
        <w:t>notes</w:t>
      </w:r>
      <w:r w:rsidR="001B6DE4" w:rsidRPr="00B8293F">
        <w:t xml:space="preserve"> with appreciation</w:t>
      </w:r>
      <w:r w:rsidR="00AF611B" w:rsidRPr="00B8293F">
        <w:t xml:space="preserve"> </w:t>
      </w:r>
      <w:r w:rsidRPr="00B8293F">
        <w:t>the thematic reports presented to the Human Rights Council during the mandate on</w:t>
      </w:r>
      <w:r w:rsidR="00FD280B" w:rsidRPr="00B8293F">
        <w:t xml:space="preserve"> </w:t>
      </w:r>
      <w:r w:rsidR="00DE58F8" w:rsidRPr="00B8293F">
        <w:t>Protecting the dead</w:t>
      </w:r>
      <w:r w:rsidR="00FD280B" w:rsidRPr="00B8293F">
        <w:rPr>
          <w:rStyle w:val="FootnoteReference"/>
        </w:rPr>
        <w:footnoteReference w:id="3"/>
      </w:r>
      <w:r w:rsidR="00FD280B" w:rsidRPr="00B8293F">
        <w:t xml:space="preserve"> </w:t>
      </w:r>
      <w:r w:rsidR="008A0CB5" w:rsidRPr="00B8293F">
        <w:t>and</w:t>
      </w:r>
      <w:r w:rsidR="00791002" w:rsidRPr="00B8293F">
        <w:t xml:space="preserve"> </w:t>
      </w:r>
      <w:r w:rsidR="00DE58F8" w:rsidRPr="00B8293F">
        <w:t>on the Rights of families of victims of unlawful killings</w:t>
      </w:r>
      <w:r w:rsidR="002725A5">
        <w:t xml:space="preserve"> </w:t>
      </w:r>
      <w:r w:rsidRPr="00B8293F">
        <w:t xml:space="preserve">and invites States to give due consideration to the conclusions and recommendations given therein; </w:t>
      </w:r>
    </w:p>
    <w:p w14:paraId="0FC8BC73" w14:textId="77777777" w:rsidR="0045541A" w:rsidRPr="00B8293F" w:rsidRDefault="009C6942" w:rsidP="005449FC">
      <w:pPr>
        <w:suppressAutoHyphens w:val="0"/>
        <w:spacing w:line="240" w:lineRule="auto"/>
        <w:ind w:left="1134" w:right="1134" w:firstLine="567"/>
        <w:jc w:val="both"/>
      </w:pPr>
      <w:r w:rsidRPr="00B8293F">
        <w:t>6.</w:t>
      </w:r>
      <w:r w:rsidRPr="00B8293F">
        <w:tab/>
      </w:r>
      <w:r w:rsidRPr="00B8293F">
        <w:rPr>
          <w:i/>
          <w:iCs/>
        </w:rPr>
        <w:t xml:space="preserve">Commends </w:t>
      </w:r>
      <w:r w:rsidRPr="00B8293F">
        <w:t>the important role that the Special Rapporteur plays towards eliminating extrajudicial, summary or arbitrary executions, and encourages the Special Rapporteur to continue, within the framework of the mandate, to collect information from all concerned, to respond effectively to information that comes before him or her, to follow up on communications and country visits and to seek the views and comments of Governments and to reflect them</w:t>
      </w:r>
      <w:r w:rsidR="00B03FC7" w:rsidRPr="00B8293F">
        <w:t xml:space="preserve">, </w:t>
      </w:r>
      <w:r w:rsidR="005449FC" w:rsidRPr="00B8293F">
        <w:t>as appropriate</w:t>
      </w:r>
      <w:r w:rsidR="00B03FC7" w:rsidRPr="00B8293F">
        <w:t>,</w:t>
      </w:r>
      <w:r w:rsidRPr="00B8293F">
        <w:t xml:space="preserve"> in the elaboration of reports</w:t>
      </w:r>
      <w:r w:rsidR="009218B8" w:rsidRPr="00B8293F">
        <w:t>, as well as to identify, exchange and promote best practices and offer advice on measures to prevent and investigate extrajudicial, summary and arbitrary executions</w:t>
      </w:r>
      <w:r w:rsidR="00B03FC7" w:rsidRPr="00B8293F">
        <w:t>;</w:t>
      </w:r>
    </w:p>
    <w:p w14:paraId="7D94FC1C" w14:textId="64FFC966" w:rsidR="00B12474" w:rsidRPr="00B8293F" w:rsidRDefault="00B12474" w:rsidP="005449FC">
      <w:pPr>
        <w:suppressAutoHyphens w:val="0"/>
        <w:spacing w:line="240" w:lineRule="auto"/>
        <w:ind w:left="1134" w:right="1134" w:firstLine="567"/>
        <w:jc w:val="both"/>
      </w:pPr>
    </w:p>
    <w:p w14:paraId="7C25B8FD" w14:textId="3561A21D" w:rsidR="009C6942" w:rsidRPr="00B8293F" w:rsidRDefault="009C6942" w:rsidP="009C6942">
      <w:pPr>
        <w:spacing w:after="120"/>
        <w:ind w:left="1134" w:right="1134" w:firstLine="567"/>
        <w:jc w:val="both"/>
      </w:pPr>
      <w:r w:rsidRPr="00B8293F">
        <w:t>7.</w:t>
      </w:r>
      <w:r w:rsidRPr="00B8293F">
        <w:tab/>
      </w:r>
      <w:r w:rsidRPr="00B8293F">
        <w:rPr>
          <w:i/>
          <w:iCs/>
        </w:rPr>
        <w:t>Requests</w:t>
      </w:r>
      <w:r w:rsidRPr="00B8293F">
        <w:t xml:space="preserve"> the Special Rapporteur, in carrying out the mandate: </w:t>
      </w:r>
    </w:p>
    <w:p w14:paraId="4E36CCFA" w14:textId="424F2619" w:rsidR="009C6942" w:rsidRPr="00B8293F" w:rsidRDefault="009C6942" w:rsidP="009C6942">
      <w:pPr>
        <w:spacing w:after="120"/>
        <w:ind w:left="1134" w:right="1134" w:firstLine="567"/>
        <w:jc w:val="both"/>
      </w:pPr>
      <w:r w:rsidRPr="00B8293F">
        <w:t>(a)</w:t>
      </w:r>
      <w:r w:rsidRPr="00B8293F">
        <w:tab/>
        <w:t xml:space="preserve">To continue to examine situations of extrajudicial, summary or arbitrary executions in all circumstances and for whatever reason, and to submit </w:t>
      </w:r>
      <w:r w:rsidR="001B6DE4" w:rsidRPr="00B8293F">
        <w:t xml:space="preserve">the </w:t>
      </w:r>
      <w:r w:rsidRPr="00B8293F">
        <w:t xml:space="preserve">findings together with conclusions and recommendations to the Human Rights Council </w:t>
      </w:r>
      <w:r w:rsidR="0045541A" w:rsidRPr="00B8293F">
        <w:t xml:space="preserve">on an annual basis </w:t>
      </w:r>
      <w:r w:rsidRPr="00B8293F">
        <w:t xml:space="preserve">and </w:t>
      </w:r>
      <w:r w:rsidR="00DE58F8" w:rsidRPr="00B8293F">
        <w:t xml:space="preserve">to </w:t>
      </w:r>
      <w:r w:rsidRPr="00B8293F">
        <w:t xml:space="preserve">the General Assembly </w:t>
      </w:r>
      <w:r w:rsidR="00E4107E" w:rsidRPr="00B8293F">
        <w:t>at its eighty-first and eighty</w:t>
      </w:r>
      <w:r w:rsidR="00713EFE" w:rsidRPr="00B8293F">
        <w:t xml:space="preserve">-second </w:t>
      </w:r>
      <w:r w:rsidR="00E4107E" w:rsidRPr="00B8293F">
        <w:t xml:space="preserve">sessions, </w:t>
      </w:r>
      <w:r w:rsidRPr="00B8293F">
        <w:t xml:space="preserve">and to draw the attention of the Council to serious situations of extrajudicial, summary or arbitrary executions that warrant immediate attention or where early action might prevent further deterioration; </w:t>
      </w:r>
    </w:p>
    <w:p w14:paraId="27627175" w14:textId="77777777" w:rsidR="009C6942" w:rsidRPr="00B8293F" w:rsidRDefault="009C6942" w:rsidP="009C6942">
      <w:pPr>
        <w:spacing w:after="120"/>
        <w:ind w:left="1134" w:right="1134" w:firstLine="567"/>
        <w:jc w:val="both"/>
      </w:pPr>
      <w:r w:rsidRPr="00B8293F">
        <w:t>(b)</w:t>
      </w:r>
      <w:r w:rsidRPr="00B8293F">
        <w:tab/>
        <w:t xml:space="preserve">To continue to draw the attention of the United Nations High Commissioner for Human Rights to serious situations of extrajudicial, summary or arbitrary executions that warrant immediate attention or where early action might prevent further deterioration; </w:t>
      </w:r>
    </w:p>
    <w:p w14:paraId="06A758CB" w14:textId="77777777" w:rsidR="009C6942" w:rsidRPr="00B8293F" w:rsidRDefault="009C6942" w:rsidP="009C6942">
      <w:pPr>
        <w:spacing w:after="120"/>
        <w:ind w:left="1134" w:right="1134" w:firstLine="567"/>
        <w:jc w:val="both"/>
      </w:pPr>
      <w:r w:rsidRPr="00B8293F">
        <w:t>(c)</w:t>
      </w:r>
      <w:r w:rsidRPr="00B8293F">
        <w:tab/>
        <w:t xml:space="preserve">To respond effectively to information that comes before him or her, in particular when an extrajudicial, summary or arbitrary execution is imminent or threatened or when such an execution has occurred; </w:t>
      </w:r>
    </w:p>
    <w:p w14:paraId="5D061B91" w14:textId="3705E5BC" w:rsidR="009C6942" w:rsidRPr="00B8293F" w:rsidRDefault="009C6942" w:rsidP="009C6942">
      <w:pPr>
        <w:spacing w:after="120"/>
        <w:ind w:left="1134" w:right="1134" w:firstLine="567"/>
        <w:jc w:val="both"/>
      </w:pPr>
      <w:r w:rsidRPr="00B8293F">
        <w:t>(d)</w:t>
      </w:r>
      <w:r w:rsidRPr="00B8293F">
        <w:tab/>
        <w:t xml:space="preserve">To enhance further </w:t>
      </w:r>
      <w:r w:rsidR="001B6DE4" w:rsidRPr="00B8293F">
        <w:t xml:space="preserve">the </w:t>
      </w:r>
      <w:r w:rsidRPr="00B8293F">
        <w:t xml:space="preserve">dialogue with Governments, and to follow up on recommendations made in reports after visits to particular countries; </w:t>
      </w:r>
    </w:p>
    <w:p w14:paraId="4E105286" w14:textId="77777777" w:rsidR="00465508" w:rsidRPr="00B8293F" w:rsidRDefault="009C6942" w:rsidP="008E5AB9">
      <w:pPr>
        <w:spacing w:after="120"/>
        <w:ind w:left="1134" w:right="1134" w:firstLine="567"/>
        <w:jc w:val="both"/>
      </w:pPr>
      <w:r w:rsidRPr="00B8293F">
        <w:t>(e)</w:t>
      </w:r>
      <w:r w:rsidRPr="00B8293F">
        <w:tab/>
        <w:t>To continue to monitor the implementation of existing international standards on safeguards and restrictions relating to the imposition of capital punishment, bearing in mind the comments made by the Human Rights Committee in its interpretation of article 6 of the International Covenant on Civil and Political Rights, and the Second Optional Protocol thereto</w:t>
      </w:r>
      <w:r w:rsidR="009B10B2" w:rsidRPr="00B8293F">
        <w:t>,</w:t>
      </w:r>
    </w:p>
    <w:p w14:paraId="4E5C6FE1" w14:textId="712215DD" w:rsidR="009C6942" w:rsidRPr="00172E8C" w:rsidRDefault="00546FA3" w:rsidP="008E5AB9">
      <w:pPr>
        <w:spacing w:after="120"/>
        <w:ind w:left="1134" w:right="1134" w:firstLine="567"/>
        <w:jc w:val="both"/>
        <w:rPr>
          <w:lang w:val="en-US"/>
        </w:rPr>
      </w:pPr>
      <w:r w:rsidRPr="00172E8C">
        <w:lastRenderedPageBreak/>
        <w:t>(f)</w:t>
      </w:r>
      <w:r w:rsidR="00B8293F" w:rsidRPr="00172E8C">
        <w:tab/>
      </w:r>
      <w:r w:rsidRPr="00172E8C">
        <w:t>To continue,</w:t>
      </w:r>
      <w:r w:rsidR="009B23E2" w:rsidRPr="00172E8C">
        <w:t xml:space="preserve"> upon request, to provide technical advice and capacity-building support to States and other relevant actors on the implementation of </w:t>
      </w:r>
      <w:r w:rsidRPr="00172E8C">
        <w:t xml:space="preserve">relevant </w:t>
      </w:r>
      <w:r w:rsidR="006E3562" w:rsidRPr="00172E8C">
        <w:t xml:space="preserve">international standards, </w:t>
      </w:r>
      <w:r w:rsidR="008E5AB9" w:rsidRPr="00172E8C">
        <w:t>including</w:t>
      </w:r>
      <w:r w:rsidR="006E3562" w:rsidRPr="00172E8C">
        <w:t xml:space="preserve"> the Minnesota Protocol (</w:t>
      </w:r>
      <w:r w:rsidR="007C40A7" w:rsidRPr="00172E8C">
        <w:t>2016</w:t>
      </w:r>
      <w:r w:rsidR="006E3562" w:rsidRPr="00172E8C">
        <w:t>)</w:t>
      </w:r>
      <w:r w:rsidR="009B23E2" w:rsidRPr="00172E8C">
        <w:t xml:space="preserve">, while continuing to contribute to the clarification, promotion and implementation of </w:t>
      </w:r>
      <w:r w:rsidR="006E3562" w:rsidRPr="00172E8C">
        <w:t>such</w:t>
      </w:r>
      <w:r w:rsidR="009B23E2" w:rsidRPr="00172E8C">
        <w:t xml:space="preserve"> standards relating to the protection</w:t>
      </w:r>
      <w:r w:rsidR="00B8293F" w:rsidRPr="00172E8C">
        <w:t xml:space="preserve"> </w:t>
      </w:r>
      <w:r w:rsidR="004B4D7F" w:rsidRPr="00172E8C">
        <w:t>against</w:t>
      </w:r>
      <w:r w:rsidRPr="00172E8C">
        <w:rPr>
          <w:lang w:val="en-US"/>
        </w:rPr>
        <w:t xml:space="preserve"> extrajudicial, summary or arbitrary executions</w:t>
      </w:r>
    </w:p>
    <w:p w14:paraId="4B3CDB49" w14:textId="1174D835" w:rsidR="009C6942" w:rsidRPr="00172E8C" w:rsidRDefault="009C6942" w:rsidP="009C6942">
      <w:pPr>
        <w:spacing w:after="120"/>
        <w:ind w:left="1134" w:right="1134" w:firstLine="567"/>
        <w:jc w:val="both"/>
      </w:pPr>
      <w:r w:rsidRPr="00172E8C">
        <w:t>(</w:t>
      </w:r>
      <w:r w:rsidR="00546FA3" w:rsidRPr="00172E8C">
        <w:t>g</w:t>
      </w:r>
      <w:r w:rsidRPr="00172E8C">
        <w:t>)</w:t>
      </w:r>
      <w:r w:rsidRPr="00172E8C">
        <w:tab/>
        <w:t>To apply a gender perspective;</w:t>
      </w:r>
    </w:p>
    <w:p w14:paraId="78B56379" w14:textId="77777777" w:rsidR="009C6942" w:rsidRPr="00B8293F" w:rsidRDefault="009C6942" w:rsidP="009C6942">
      <w:pPr>
        <w:spacing w:after="120"/>
        <w:ind w:left="1134" w:right="1134" w:firstLine="567"/>
        <w:jc w:val="both"/>
      </w:pPr>
      <w:r w:rsidRPr="00B8293F">
        <w:t>8.</w:t>
      </w:r>
      <w:r w:rsidRPr="00B8293F">
        <w:tab/>
      </w:r>
      <w:r w:rsidRPr="00B8293F">
        <w:rPr>
          <w:i/>
          <w:iCs/>
        </w:rPr>
        <w:t>Urges</w:t>
      </w:r>
      <w:r w:rsidRPr="00B8293F">
        <w:t xml:space="preserve"> States: </w:t>
      </w:r>
    </w:p>
    <w:p w14:paraId="61B5FEA2" w14:textId="4A37CD3E" w:rsidR="009C6942" w:rsidRPr="00B8293F" w:rsidRDefault="009C6942" w:rsidP="009C6942">
      <w:pPr>
        <w:spacing w:after="120"/>
        <w:ind w:left="1134" w:right="1134" w:firstLine="567"/>
        <w:jc w:val="both"/>
      </w:pPr>
      <w:r w:rsidRPr="00B8293F">
        <w:t>(a)</w:t>
      </w:r>
      <w:r w:rsidRPr="00B8293F">
        <w:tab/>
        <w:t xml:space="preserve">To cooperate with and assist the Special Rapporteur in the performance of his or her tasks, to supply all necessary information requested by him or her and to react appropriately and expeditiously to his or her urgent appeals, and those Governments that have not yet responded to communications transmitted to them by the Special Rapporteur to do so without further delay; </w:t>
      </w:r>
    </w:p>
    <w:p w14:paraId="1DF6796D" w14:textId="30141BA1" w:rsidR="009C6942" w:rsidRPr="00B8293F" w:rsidRDefault="009C6942" w:rsidP="009C6942">
      <w:pPr>
        <w:spacing w:after="120"/>
        <w:ind w:left="1134" w:right="1134" w:firstLine="567"/>
        <w:jc w:val="both"/>
      </w:pPr>
      <w:r w:rsidRPr="00B8293F">
        <w:t>(b)</w:t>
      </w:r>
      <w:r w:rsidRPr="00B8293F">
        <w:tab/>
        <w:t xml:space="preserve">To give serious consideration to responding favourably to the Special Rapporteur’s requests to visit their countries; </w:t>
      </w:r>
    </w:p>
    <w:p w14:paraId="139D05A5" w14:textId="77777777" w:rsidR="009C6942" w:rsidRPr="00B8293F" w:rsidRDefault="009C6942" w:rsidP="009C6942">
      <w:pPr>
        <w:spacing w:after="120"/>
        <w:ind w:left="1134" w:right="1134" w:firstLine="567"/>
        <w:jc w:val="both"/>
      </w:pPr>
      <w:r w:rsidRPr="00B8293F">
        <w:t>(c)</w:t>
      </w:r>
      <w:r w:rsidRPr="00B8293F">
        <w:tab/>
        <w:t xml:space="preserve">To ensure appropriate follow-up to the recommendations and conclusions of the Special Rapporteur, including by providing information to the Special Rapporteur on the actions taken on those recommendations; </w:t>
      </w:r>
    </w:p>
    <w:p w14:paraId="09EE4384" w14:textId="77777777" w:rsidR="009C6942" w:rsidRPr="00B8293F" w:rsidRDefault="009C6942" w:rsidP="009C6942">
      <w:pPr>
        <w:spacing w:after="120"/>
        <w:ind w:left="1134" w:right="1134" w:firstLine="567"/>
        <w:jc w:val="both"/>
      </w:pPr>
      <w:r w:rsidRPr="00B8293F">
        <w:t>9.</w:t>
      </w:r>
      <w:r w:rsidRPr="00B8293F">
        <w:tab/>
      </w:r>
      <w:r w:rsidRPr="00B8293F">
        <w:rPr>
          <w:i/>
          <w:iCs/>
        </w:rPr>
        <w:t xml:space="preserve">Welcomes </w:t>
      </w:r>
      <w:r w:rsidRPr="00B8293F">
        <w:t xml:space="preserve">the cooperation established between the Special Rapporteur and other United Nations mechanisms and procedures in the field of human rights, and encourages the Special Rapporteur to continue efforts in that regard; </w:t>
      </w:r>
    </w:p>
    <w:p w14:paraId="14A0D7C0" w14:textId="4A972F89" w:rsidR="009C6942" w:rsidRPr="00B8293F" w:rsidRDefault="009C6942" w:rsidP="009C6942">
      <w:pPr>
        <w:spacing w:after="120"/>
        <w:ind w:left="1134" w:right="1134" w:firstLine="567"/>
        <w:jc w:val="both"/>
      </w:pPr>
      <w:r w:rsidRPr="00B8293F">
        <w:t>10.</w:t>
      </w:r>
      <w:r w:rsidRPr="00B8293F">
        <w:tab/>
      </w:r>
      <w:r w:rsidRPr="00B8293F">
        <w:rPr>
          <w:i/>
          <w:iCs/>
        </w:rPr>
        <w:t xml:space="preserve">Requests </w:t>
      </w:r>
      <w:r w:rsidRPr="00B8293F">
        <w:t xml:space="preserve">the Secretary-General to provide the Special Rapporteur with </w:t>
      </w:r>
      <w:r w:rsidR="00C7488A" w:rsidRPr="00B8293F">
        <w:t xml:space="preserve">an </w:t>
      </w:r>
      <w:r w:rsidRPr="00B8293F">
        <w:t xml:space="preserve">adequate </w:t>
      </w:r>
      <w:r w:rsidR="00C7488A" w:rsidRPr="00B8293F">
        <w:t xml:space="preserve">and stable level of the </w:t>
      </w:r>
      <w:r w:rsidRPr="00B8293F">
        <w:t>human, financial and material resources</w:t>
      </w:r>
      <w:r w:rsidR="00C7488A" w:rsidRPr="00B8293F">
        <w:t xml:space="preserve"> necessary</w:t>
      </w:r>
      <w:r w:rsidRPr="00B8293F">
        <w:t xml:space="preserve"> to carry out the mandate effectively, including through country visits; </w:t>
      </w:r>
    </w:p>
    <w:p w14:paraId="7981AE73" w14:textId="77777777" w:rsidR="009C6942" w:rsidRPr="00B8293F" w:rsidRDefault="009C6942" w:rsidP="009C6942">
      <w:pPr>
        <w:spacing w:after="120"/>
        <w:ind w:left="1134" w:right="1134" w:firstLine="567"/>
        <w:jc w:val="both"/>
      </w:pPr>
      <w:r w:rsidRPr="00B8293F">
        <w:t>11.</w:t>
      </w:r>
      <w:r w:rsidRPr="00B8293F">
        <w:tab/>
      </w:r>
      <w:r w:rsidRPr="00B8293F">
        <w:rPr>
          <w:i/>
          <w:iCs/>
        </w:rPr>
        <w:t>Decides</w:t>
      </w:r>
      <w:r w:rsidRPr="00B8293F">
        <w:t xml:space="preserve"> to extend the mandate of the Special Rapporteur on extrajudicial, summary or arbitrary executions for three years; </w:t>
      </w:r>
    </w:p>
    <w:p w14:paraId="7F0E5979" w14:textId="664D1A6B" w:rsidR="009C6942" w:rsidRDefault="009C6942" w:rsidP="009C6942">
      <w:pPr>
        <w:spacing w:after="120"/>
        <w:ind w:left="1134" w:right="1134" w:firstLine="567"/>
        <w:jc w:val="both"/>
      </w:pPr>
      <w:r w:rsidRPr="00B8293F">
        <w:t>12.</w:t>
      </w:r>
      <w:r w:rsidRPr="00B8293F">
        <w:tab/>
      </w:r>
      <w:r w:rsidRPr="00B8293F">
        <w:rPr>
          <w:i/>
          <w:iCs/>
        </w:rPr>
        <w:t>Also decides</w:t>
      </w:r>
      <w:r w:rsidRPr="00B8293F">
        <w:t xml:space="preserve"> to continue to consider this matter in conformity with its programme of work.</w:t>
      </w:r>
    </w:p>
    <w:p w14:paraId="648B8625" w14:textId="73938363" w:rsidR="009C6942" w:rsidRPr="009C6942" w:rsidRDefault="009C6942" w:rsidP="009C6942">
      <w:pPr>
        <w:spacing w:before="240"/>
        <w:ind w:left="1134" w:right="1134"/>
        <w:jc w:val="center"/>
        <w:rPr>
          <w:u w:val="single"/>
        </w:rPr>
      </w:pPr>
      <w:r>
        <w:rPr>
          <w:u w:val="single"/>
        </w:rPr>
        <w:tab/>
      </w:r>
      <w:r>
        <w:rPr>
          <w:u w:val="single"/>
        </w:rPr>
        <w:tab/>
      </w:r>
      <w:r>
        <w:rPr>
          <w:u w:val="single"/>
        </w:rPr>
        <w:tab/>
      </w:r>
      <w:r w:rsidR="006B4FA8">
        <w:rPr>
          <w:u w:val="single"/>
        </w:rPr>
        <w:tab/>
      </w:r>
    </w:p>
    <w:sectPr w:rsidR="009C6942" w:rsidRPr="009C6942" w:rsidSect="00EE06CD">
      <w:headerReference w:type="even" r:id="rId11"/>
      <w:headerReference w:type="default" r:id="rId12"/>
      <w:footerReference w:type="even" r:id="rId13"/>
      <w:footerReference w:type="default" r:id="rId14"/>
      <w:footerReference w:type="first" r:id="rId15"/>
      <w:endnotePr>
        <w:numFmt w:val="decimal"/>
      </w:endnotePr>
      <w:pgSz w:w="11907" w:h="16840" w:code="9"/>
      <w:pgMar w:top="1417" w:right="1134" w:bottom="1134" w:left="1134" w:header="850" w:footer="567" w:gutter="0"/>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F30E837" w14:textId="77777777" w:rsidR="00EB651C" w:rsidRDefault="00EB651C"/>
    <w:p w14:paraId="42497181" w14:textId="77777777" w:rsidR="00EB651C" w:rsidRDefault="00EB651C"/>
    <w:p w14:paraId="16942E85" w14:textId="77777777" w:rsidR="00EB651C" w:rsidRDefault="00EB651C"/>
  </w:endnote>
  <w:endnote w:type="continuationSeparator" w:id="0">
    <w:p w14:paraId="3F2E8472" w14:textId="77777777" w:rsidR="00EB651C" w:rsidRDefault="00EB651C"/>
    <w:p w14:paraId="769BE26D" w14:textId="77777777" w:rsidR="00EB651C" w:rsidRDefault="00EB651C"/>
    <w:p w14:paraId="554A67B5" w14:textId="77777777" w:rsidR="00EB651C" w:rsidRDefault="00EB651C"/>
  </w:endnote>
  <w:endnote w:type="continuationNotice" w:id="1">
    <w:p w14:paraId="2711E183" w14:textId="77777777" w:rsidR="00EB651C" w:rsidRDefault="00EB651C"/>
    <w:p w14:paraId="74052698" w14:textId="77777777" w:rsidR="00EB651C" w:rsidRDefault="00EB651C"/>
    <w:p w14:paraId="04A6846B" w14:textId="77777777" w:rsidR="00EB651C" w:rsidRDefault="00EB651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39T30Lfz">
    <w:altName w:val="Symbol"/>
    <w:charset w:val="02"/>
    <w:family w:val="auto"/>
    <w:pitch w:val="variable"/>
    <w:sig w:usb0="00000000" w:usb1="10000000" w:usb2="00000000" w:usb3="00000000" w:csb0="80000000"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927AB7" w14:textId="070F8A07" w:rsidR="00EE06CD" w:rsidRPr="00EE06CD" w:rsidRDefault="00EE06CD" w:rsidP="00EE06CD">
    <w:pPr>
      <w:pStyle w:val="Footer"/>
      <w:tabs>
        <w:tab w:val="right" w:pos="9638"/>
      </w:tabs>
      <w:rPr>
        <w:sz w:val="18"/>
      </w:rPr>
    </w:pPr>
    <w:r w:rsidRPr="00EE06CD">
      <w:rPr>
        <w:b/>
        <w:sz w:val="18"/>
      </w:rPr>
      <w:fldChar w:fldCharType="begin"/>
    </w:r>
    <w:r w:rsidRPr="00EE06CD">
      <w:rPr>
        <w:b/>
        <w:sz w:val="18"/>
      </w:rPr>
      <w:instrText xml:space="preserve"> PAGE  \* MERGEFORMAT </w:instrText>
    </w:r>
    <w:r w:rsidRPr="00EE06CD">
      <w:rPr>
        <w:b/>
        <w:sz w:val="18"/>
      </w:rPr>
      <w:fldChar w:fldCharType="separate"/>
    </w:r>
    <w:r w:rsidR="00974EAB">
      <w:rPr>
        <w:b/>
        <w:noProof/>
        <w:sz w:val="18"/>
      </w:rPr>
      <w:t>2</w:t>
    </w:r>
    <w:r w:rsidRPr="00EE06CD">
      <w:rPr>
        <w:b/>
        <w:sz w:val="18"/>
      </w:rPr>
      <w:fldChar w:fldCharType="end"/>
    </w:r>
    <w:r>
      <w:rPr>
        <w:sz w:val="18"/>
      </w:rPr>
      <w:tab/>
    </w:r>
  </w:p>
  <w:p w14:paraId="307688D2" w14:textId="77777777" w:rsidR="0085667A" w:rsidRDefault="0085667A"/>
  <w:p w14:paraId="2A2772BC" w14:textId="77777777" w:rsidR="0085667A" w:rsidRDefault="0085667A"/>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40305C" w14:textId="72AD567A" w:rsidR="00EE06CD" w:rsidRPr="00EE06CD" w:rsidRDefault="00EE06CD" w:rsidP="00EE06CD">
    <w:pPr>
      <w:pStyle w:val="Footer"/>
      <w:tabs>
        <w:tab w:val="right" w:pos="9638"/>
      </w:tabs>
      <w:rPr>
        <w:b/>
        <w:sz w:val="18"/>
      </w:rPr>
    </w:pPr>
    <w:r>
      <w:tab/>
    </w:r>
    <w:r w:rsidRPr="00EE06CD">
      <w:rPr>
        <w:b/>
        <w:sz w:val="18"/>
      </w:rPr>
      <w:fldChar w:fldCharType="begin"/>
    </w:r>
    <w:r w:rsidRPr="00EE06CD">
      <w:rPr>
        <w:b/>
        <w:sz w:val="18"/>
      </w:rPr>
      <w:instrText xml:space="preserve"> PAGE  \* MERGEFORMAT </w:instrText>
    </w:r>
    <w:r w:rsidRPr="00EE06CD">
      <w:rPr>
        <w:b/>
        <w:sz w:val="18"/>
      </w:rPr>
      <w:fldChar w:fldCharType="separate"/>
    </w:r>
    <w:r w:rsidR="00974EAB">
      <w:rPr>
        <w:b/>
        <w:noProof/>
        <w:sz w:val="18"/>
      </w:rPr>
      <w:t>3</w:t>
    </w:r>
    <w:r w:rsidRPr="00EE06CD">
      <w:rPr>
        <w:b/>
        <w:sz w:val="18"/>
      </w:rPr>
      <w:fldChar w:fldCharType="end"/>
    </w:r>
  </w:p>
  <w:p w14:paraId="008981B5" w14:textId="77777777" w:rsidR="0085667A" w:rsidRDefault="0085667A"/>
  <w:p w14:paraId="2E846C60" w14:textId="77777777" w:rsidR="0085667A" w:rsidRDefault="0085667A"/>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DAEC5A" w14:textId="4ABD9DE2" w:rsidR="003C4F42" w:rsidRPr="003C4F42" w:rsidRDefault="003C4F42" w:rsidP="00741CA0">
    <w:pPr>
      <w:pStyle w:val="Footer"/>
      <w:rPr>
        <w:rFonts w:ascii="C39T30Lfz" w:hAnsi="C39T30Lfz"/>
        <w:sz w:val="5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BA9C30" w14:textId="77777777" w:rsidR="00EB651C" w:rsidRPr="000B175B" w:rsidRDefault="00EB651C" w:rsidP="000B175B">
      <w:pPr>
        <w:tabs>
          <w:tab w:val="right" w:pos="2155"/>
        </w:tabs>
        <w:spacing w:after="80"/>
        <w:ind w:left="680"/>
        <w:rPr>
          <w:u w:val="single"/>
        </w:rPr>
      </w:pPr>
      <w:r>
        <w:rPr>
          <w:u w:val="single"/>
        </w:rPr>
        <w:tab/>
      </w:r>
    </w:p>
    <w:p w14:paraId="7506B82C" w14:textId="77777777" w:rsidR="00EB651C" w:rsidRDefault="00EB651C"/>
    <w:p w14:paraId="1DD46EEA" w14:textId="77777777" w:rsidR="00EB651C" w:rsidRDefault="00EB651C"/>
  </w:footnote>
  <w:footnote w:type="continuationSeparator" w:id="0">
    <w:p w14:paraId="699CCA29" w14:textId="77777777" w:rsidR="00EB651C" w:rsidRPr="00FC68B7" w:rsidRDefault="00EB651C" w:rsidP="00FC68B7">
      <w:pPr>
        <w:tabs>
          <w:tab w:val="left" w:pos="2155"/>
        </w:tabs>
        <w:spacing w:after="80"/>
        <w:ind w:left="680"/>
        <w:rPr>
          <w:u w:val="single"/>
        </w:rPr>
      </w:pPr>
      <w:r>
        <w:rPr>
          <w:u w:val="single"/>
        </w:rPr>
        <w:tab/>
      </w:r>
    </w:p>
    <w:p w14:paraId="3F046D06" w14:textId="77777777" w:rsidR="00EB651C" w:rsidRDefault="00EB651C"/>
    <w:p w14:paraId="27D748C3" w14:textId="77777777" w:rsidR="00EB651C" w:rsidRDefault="00EB651C"/>
  </w:footnote>
  <w:footnote w:type="continuationNotice" w:id="1">
    <w:p w14:paraId="24AD6087" w14:textId="77777777" w:rsidR="00EB651C" w:rsidRDefault="00EB651C"/>
    <w:p w14:paraId="2A5CE4B3" w14:textId="77777777" w:rsidR="00EB651C" w:rsidRDefault="00EB651C"/>
    <w:p w14:paraId="48BE6FB5" w14:textId="77777777" w:rsidR="00EB651C" w:rsidRDefault="00EB651C"/>
  </w:footnote>
  <w:footnote w:id="2">
    <w:p w14:paraId="07F81EF1" w14:textId="4F514AB4" w:rsidR="009218B8" w:rsidRPr="00C82264" w:rsidRDefault="009218B8" w:rsidP="002725A5">
      <w:pPr>
        <w:pStyle w:val="FootnoteText"/>
        <w:ind w:left="0" w:firstLine="0"/>
        <w:rPr>
          <w:sz w:val="20"/>
        </w:rPr>
      </w:pPr>
      <w:r>
        <w:rPr>
          <w:rStyle w:val="FootnoteReference"/>
        </w:rPr>
        <w:footnoteRef/>
      </w:r>
      <w:r>
        <w:t xml:space="preserve"> </w:t>
      </w:r>
      <w:r w:rsidRPr="00C82264">
        <w:rPr>
          <w:i/>
          <w:iCs/>
        </w:rPr>
        <w:t>The Minnesota Protocol on the Investigation of Potentially Unlawful Death (2016)</w:t>
      </w:r>
      <w:r w:rsidRPr="00C82264">
        <w:t>, Office of the United Nations</w:t>
      </w:r>
      <w:r>
        <w:t xml:space="preserve"> </w:t>
      </w:r>
      <w:r w:rsidRPr="00C82264">
        <w:t>High Commissioner for Human Rights, New York/Geneva, 2017</w:t>
      </w:r>
    </w:p>
  </w:footnote>
  <w:footnote w:id="3">
    <w:p w14:paraId="1CCF42FE" w14:textId="47764801" w:rsidR="00FD280B" w:rsidRPr="0045541A" w:rsidRDefault="00FD280B">
      <w:pPr>
        <w:pStyle w:val="FootnoteText"/>
        <w:rPr>
          <w:lang w:val="sv-SE"/>
        </w:rPr>
      </w:pPr>
      <w:r>
        <w:rPr>
          <w:rStyle w:val="FootnoteReference"/>
        </w:rPr>
        <w:footnoteRef/>
      </w:r>
      <w:r>
        <w:t xml:space="preserve"> A/HRC/5</w:t>
      </w:r>
      <w:r w:rsidR="00DE58F8">
        <w:t>6</w:t>
      </w:r>
      <w:r>
        <w:t>/5</w:t>
      </w:r>
      <w:r w:rsidR="00DE58F8">
        <w:t>6</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87259F" w14:textId="77777777" w:rsidR="0085667A" w:rsidRDefault="0085667A"/>
  <w:p w14:paraId="555BE406" w14:textId="77777777" w:rsidR="0085667A" w:rsidRDefault="0085667A"/>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5E8554" w14:textId="77777777" w:rsidR="0085667A" w:rsidRDefault="0085667A"/>
  <w:p w14:paraId="7AB07F8A" w14:textId="77777777" w:rsidR="0085667A" w:rsidRDefault="0085667A"/>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0C49F8"/>
    <w:multiLevelType w:val="hybridMultilevel"/>
    <w:tmpl w:val="FFD08D26"/>
    <w:lvl w:ilvl="0" w:tplc="075A6416">
      <w:start w:val="1"/>
      <w:numFmt w:val="decimal"/>
      <w:lvlText w:val="%1."/>
      <w:lvlJc w:val="left"/>
      <w:pPr>
        <w:tabs>
          <w:tab w:val="num" w:pos="0"/>
        </w:tabs>
        <w:ind w:left="1134" w:firstLine="0"/>
      </w:pPr>
      <w:rPr>
        <w:rFonts w:ascii="Times New Roman" w:hAnsi="Times New Roman" w:hint="default"/>
        <w:b w:val="0"/>
        <w:i w:val="0"/>
        <w:sz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03F2036B"/>
    <w:multiLevelType w:val="hybridMultilevel"/>
    <w:tmpl w:val="B22E0BFA"/>
    <w:lvl w:ilvl="0" w:tplc="9008FA9E">
      <w:start w:val="1"/>
      <w:numFmt w:val="bullet"/>
      <w:pStyle w:val="Bullet1G"/>
      <w:lvlText w:val="•"/>
      <w:lvlJc w:val="left"/>
      <w:pPr>
        <w:tabs>
          <w:tab w:val="num" w:pos="1701"/>
        </w:tabs>
        <w:ind w:left="1701" w:hanging="170"/>
      </w:pPr>
      <w:rPr>
        <w:rFonts w:ascii="Times New Roman" w:hAnsi="Times New Roman" w:cs="Times New Roman"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D954887"/>
    <w:multiLevelType w:val="hybridMultilevel"/>
    <w:tmpl w:val="5A48E46A"/>
    <w:lvl w:ilvl="0" w:tplc="F560206C">
      <w:start w:val="1"/>
      <w:numFmt w:val="decimal"/>
      <w:pStyle w:val="ParNoG"/>
      <w:lvlText w:val="%1."/>
      <w:lvlJc w:val="left"/>
      <w:pPr>
        <w:tabs>
          <w:tab w:val="num" w:pos="1701"/>
        </w:tabs>
        <w:ind w:left="1134" w:firstLine="0"/>
      </w:pPr>
      <w:rPr>
        <w:rFonts w:ascii="Times New Roman" w:hAnsi="Times New Roman" w:hint="default"/>
        <w:b w:val="0"/>
        <w:i w:val="0"/>
        <w:sz w:val="20"/>
      </w:r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3" w15:restartNumberingAfterBreak="0">
    <w:nsid w:val="10246502"/>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4" w15:restartNumberingAfterBreak="0">
    <w:nsid w:val="1E253887"/>
    <w:multiLevelType w:val="hybridMultilevel"/>
    <w:tmpl w:val="497EC7CC"/>
    <w:lvl w:ilvl="0" w:tplc="FAE4B376">
      <w:start w:val="1"/>
      <w:numFmt w:val="bullet"/>
      <w:lvlText w:val="•"/>
      <w:lvlJc w:val="left"/>
      <w:pPr>
        <w:tabs>
          <w:tab w:val="num" w:pos="2268"/>
        </w:tabs>
        <w:ind w:left="2268" w:hanging="170"/>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31A12325"/>
    <w:multiLevelType w:val="hybridMultilevel"/>
    <w:tmpl w:val="FF0E5B48"/>
    <w:lvl w:ilvl="0" w:tplc="6D5E22D8">
      <w:start w:val="1"/>
      <w:numFmt w:val="bullet"/>
      <w:lvlText w:val="•"/>
      <w:lvlJc w:val="left"/>
      <w:pPr>
        <w:tabs>
          <w:tab w:val="num" w:pos="1701"/>
        </w:tabs>
        <w:ind w:left="1701" w:hanging="170"/>
      </w:pPr>
      <w:rPr>
        <w:rFonts w:ascii="Times New Roman" w:hAnsi="Times New Roman" w:cs="Times New Roman" w:hint="default"/>
        <w:b w:val="0"/>
        <w:i w:val="0"/>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68862366"/>
    <w:multiLevelType w:val="hybridMultilevel"/>
    <w:tmpl w:val="523E6D94"/>
    <w:lvl w:ilvl="0" w:tplc="E24C15DA">
      <w:start w:val="1"/>
      <w:numFmt w:val="bullet"/>
      <w:pStyle w:val="Bullet2G"/>
      <w:lvlText w:val="•"/>
      <w:lvlJc w:val="left"/>
      <w:pPr>
        <w:tabs>
          <w:tab w:val="num" w:pos="2268"/>
        </w:tabs>
        <w:ind w:left="2268" w:hanging="170"/>
      </w:pPr>
      <w:rPr>
        <w:rFonts w:ascii="Times New Roman" w:hAnsi="Times New Roman" w:cs="Times New Roman" w:hint="default"/>
        <w:b w:val="0"/>
        <w:i w:val="0"/>
        <w:sz w:val="20"/>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6C4B4761"/>
    <w:multiLevelType w:val="multilevel"/>
    <w:tmpl w:val="0409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num w:numId="1" w16cid:durableId="1951548367">
    <w:abstractNumId w:val="5"/>
  </w:num>
  <w:num w:numId="2" w16cid:durableId="1668481135">
    <w:abstractNumId w:val="4"/>
  </w:num>
  <w:num w:numId="3" w16cid:durableId="928808399">
    <w:abstractNumId w:val="7"/>
  </w:num>
  <w:num w:numId="4" w16cid:durableId="1654332737">
    <w:abstractNumId w:val="3"/>
  </w:num>
  <w:num w:numId="5" w16cid:durableId="1975871621">
    <w:abstractNumId w:val="0"/>
  </w:num>
  <w:num w:numId="6" w16cid:durableId="186410108">
    <w:abstractNumId w:val="1"/>
  </w:num>
  <w:num w:numId="7" w16cid:durableId="134298523">
    <w:abstractNumId w:val="6"/>
  </w:num>
  <w:num w:numId="8" w16cid:durableId="512689348">
    <w:abstractNumId w:val="2"/>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en-GB" w:vendorID="64" w:dllVersion="5" w:nlCheck="1" w:checkStyle="1"/>
  <w:activeWritingStyle w:appName="MSWord" w:lang="en-GB" w:vendorID="64" w:dllVersion="6" w:nlCheck="1" w:checkStyle="1"/>
  <w:activeWritingStyle w:appName="MSWord" w:lang="en-US" w:vendorID="64" w:dllVersion="6" w:nlCheck="1" w:checkStyle="1"/>
  <w:activeWritingStyle w:appName="MSWord" w:lang="en-GB" w:vendorID="64" w:dllVersion="4096" w:nlCheck="1" w:checkStyle="0"/>
  <w:activeWritingStyle w:appName="MSWord" w:lang="en-GB" w:vendorID="64" w:dllVersion="0" w:nlCheck="1" w:checkStyle="0"/>
  <w:activeWritingStyle w:appName="MSWord" w:lang="sv-SE" w:vendorID="64" w:dllVersion="0" w:nlCheck="1" w:checkStyle="0"/>
  <w:activeWritingStyle w:appName="MSWord" w:lang="en-US" w:vendorID="64" w:dllVersion="0" w:nlCheck="1" w:checkStyle="0"/>
  <w:proofState w:spelling="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oNotTrackFormatting/>
  <w:defaultTabStop w:val="567"/>
  <w:hyphenationZone w:val="357"/>
  <w:doNotHyphenateCaps/>
  <w:evenAndOddHeaders/>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E06CD"/>
    <w:rsid w:val="00007F7F"/>
    <w:rsid w:val="00022DB5"/>
    <w:rsid w:val="00031D56"/>
    <w:rsid w:val="000403D1"/>
    <w:rsid w:val="000449AA"/>
    <w:rsid w:val="00046EAD"/>
    <w:rsid w:val="00050F6B"/>
    <w:rsid w:val="00052A42"/>
    <w:rsid w:val="000552F5"/>
    <w:rsid w:val="0005662A"/>
    <w:rsid w:val="00072C8C"/>
    <w:rsid w:val="00073E70"/>
    <w:rsid w:val="00082F53"/>
    <w:rsid w:val="00084E39"/>
    <w:rsid w:val="000876EB"/>
    <w:rsid w:val="000912C2"/>
    <w:rsid w:val="00091419"/>
    <w:rsid w:val="000931C0"/>
    <w:rsid w:val="00095A8B"/>
    <w:rsid w:val="00095C05"/>
    <w:rsid w:val="000A379C"/>
    <w:rsid w:val="000B175B"/>
    <w:rsid w:val="000B2724"/>
    <w:rsid w:val="000B2851"/>
    <w:rsid w:val="000B3A0F"/>
    <w:rsid w:val="000B4A3B"/>
    <w:rsid w:val="000C59D8"/>
    <w:rsid w:val="000C609D"/>
    <w:rsid w:val="000D1851"/>
    <w:rsid w:val="000E0415"/>
    <w:rsid w:val="00113A92"/>
    <w:rsid w:val="00132861"/>
    <w:rsid w:val="00132DF5"/>
    <w:rsid w:val="00134C42"/>
    <w:rsid w:val="00135FC8"/>
    <w:rsid w:val="00136728"/>
    <w:rsid w:val="00146D32"/>
    <w:rsid w:val="001509BA"/>
    <w:rsid w:val="00155769"/>
    <w:rsid w:val="00161074"/>
    <w:rsid w:val="00172C88"/>
    <w:rsid w:val="00172E8C"/>
    <w:rsid w:val="00176D9B"/>
    <w:rsid w:val="001933C5"/>
    <w:rsid w:val="001A6DFF"/>
    <w:rsid w:val="001B4B04"/>
    <w:rsid w:val="001B59DB"/>
    <w:rsid w:val="001B6DE4"/>
    <w:rsid w:val="001B7C7B"/>
    <w:rsid w:val="001B7F97"/>
    <w:rsid w:val="001C0CFE"/>
    <w:rsid w:val="001C6663"/>
    <w:rsid w:val="001C74C0"/>
    <w:rsid w:val="001C7895"/>
    <w:rsid w:val="001C7ACB"/>
    <w:rsid w:val="001D26DF"/>
    <w:rsid w:val="001E2790"/>
    <w:rsid w:val="001F1382"/>
    <w:rsid w:val="001F6819"/>
    <w:rsid w:val="002031F0"/>
    <w:rsid w:val="00206298"/>
    <w:rsid w:val="00206B58"/>
    <w:rsid w:val="00211E0B"/>
    <w:rsid w:val="00211E72"/>
    <w:rsid w:val="00214047"/>
    <w:rsid w:val="002161D9"/>
    <w:rsid w:val="00220F6B"/>
    <w:rsid w:val="0022130F"/>
    <w:rsid w:val="00224563"/>
    <w:rsid w:val="00224D3A"/>
    <w:rsid w:val="0023618D"/>
    <w:rsid w:val="00237785"/>
    <w:rsid w:val="002410DD"/>
    <w:rsid w:val="00241272"/>
    <w:rsid w:val="00241466"/>
    <w:rsid w:val="00241B8B"/>
    <w:rsid w:val="00250EE5"/>
    <w:rsid w:val="00253D58"/>
    <w:rsid w:val="002725A5"/>
    <w:rsid w:val="00272882"/>
    <w:rsid w:val="0027725F"/>
    <w:rsid w:val="0028782D"/>
    <w:rsid w:val="002929B6"/>
    <w:rsid w:val="002959DC"/>
    <w:rsid w:val="002A5497"/>
    <w:rsid w:val="002A7BAB"/>
    <w:rsid w:val="002B5466"/>
    <w:rsid w:val="002B69C2"/>
    <w:rsid w:val="002B6A05"/>
    <w:rsid w:val="002C21F0"/>
    <w:rsid w:val="002C32C8"/>
    <w:rsid w:val="002C7B51"/>
    <w:rsid w:val="002D0099"/>
    <w:rsid w:val="002D1699"/>
    <w:rsid w:val="003107FA"/>
    <w:rsid w:val="00316EB7"/>
    <w:rsid w:val="003229D8"/>
    <w:rsid w:val="003314D1"/>
    <w:rsid w:val="00335A2F"/>
    <w:rsid w:val="00335BDD"/>
    <w:rsid w:val="00340F59"/>
    <w:rsid w:val="00341937"/>
    <w:rsid w:val="00343F9B"/>
    <w:rsid w:val="003458EA"/>
    <w:rsid w:val="003547C5"/>
    <w:rsid w:val="00361F58"/>
    <w:rsid w:val="0038085E"/>
    <w:rsid w:val="0039277A"/>
    <w:rsid w:val="00394247"/>
    <w:rsid w:val="003972E0"/>
    <w:rsid w:val="003975ED"/>
    <w:rsid w:val="003A2D09"/>
    <w:rsid w:val="003A6101"/>
    <w:rsid w:val="003B530F"/>
    <w:rsid w:val="003B693A"/>
    <w:rsid w:val="003C09EF"/>
    <w:rsid w:val="003C23D6"/>
    <w:rsid w:val="003C2CC4"/>
    <w:rsid w:val="003C4F42"/>
    <w:rsid w:val="003D4B23"/>
    <w:rsid w:val="003E1EEC"/>
    <w:rsid w:val="00405551"/>
    <w:rsid w:val="004210DA"/>
    <w:rsid w:val="00424C80"/>
    <w:rsid w:val="0042575D"/>
    <w:rsid w:val="0042598F"/>
    <w:rsid w:val="004325CB"/>
    <w:rsid w:val="004428ED"/>
    <w:rsid w:val="00444372"/>
    <w:rsid w:val="0044503A"/>
    <w:rsid w:val="00446DE4"/>
    <w:rsid w:val="00447761"/>
    <w:rsid w:val="00451EC3"/>
    <w:rsid w:val="0045541A"/>
    <w:rsid w:val="00465508"/>
    <w:rsid w:val="004721B1"/>
    <w:rsid w:val="00472278"/>
    <w:rsid w:val="004859EC"/>
    <w:rsid w:val="00496A15"/>
    <w:rsid w:val="004B4D7F"/>
    <w:rsid w:val="004B75D2"/>
    <w:rsid w:val="004C6785"/>
    <w:rsid w:val="004C7CDC"/>
    <w:rsid w:val="004D1140"/>
    <w:rsid w:val="004D251F"/>
    <w:rsid w:val="004E5D93"/>
    <w:rsid w:val="004E6E24"/>
    <w:rsid w:val="004F0FF6"/>
    <w:rsid w:val="004F55ED"/>
    <w:rsid w:val="00505818"/>
    <w:rsid w:val="00521711"/>
    <w:rsid w:val="0052176C"/>
    <w:rsid w:val="005261E5"/>
    <w:rsid w:val="005420F2"/>
    <w:rsid w:val="00542574"/>
    <w:rsid w:val="005436AB"/>
    <w:rsid w:val="005449FC"/>
    <w:rsid w:val="00546924"/>
    <w:rsid w:val="00546DBF"/>
    <w:rsid w:val="00546FA3"/>
    <w:rsid w:val="00553D76"/>
    <w:rsid w:val="005552B5"/>
    <w:rsid w:val="0056117B"/>
    <w:rsid w:val="00562621"/>
    <w:rsid w:val="00571365"/>
    <w:rsid w:val="00572D7E"/>
    <w:rsid w:val="00573350"/>
    <w:rsid w:val="00574308"/>
    <w:rsid w:val="00576512"/>
    <w:rsid w:val="005A0E16"/>
    <w:rsid w:val="005A1FD1"/>
    <w:rsid w:val="005B3DB3"/>
    <w:rsid w:val="005B6E48"/>
    <w:rsid w:val="005B7043"/>
    <w:rsid w:val="005C6E95"/>
    <w:rsid w:val="005D3008"/>
    <w:rsid w:val="005D53BE"/>
    <w:rsid w:val="005E1712"/>
    <w:rsid w:val="00611FC4"/>
    <w:rsid w:val="00615877"/>
    <w:rsid w:val="006176FB"/>
    <w:rsid w:val="00625FA2"/>
    <w:rsid w:val="00633603"/>
    <w:rsid w:val="00640B26"/>
    <w:rsid w:val="00641503"/>
    <w:rsid w:val="00641FA0"/>
    <w:rsid w:val="00655B60"/>
    <w:rsid w:val="00656764"/>
    <w:rsid w:val="00670741"/>
    <w:rsid w:val="00696BD6"/>
    <w:rsid w:val="006A145F"/>
    <w:rsid w:val="006A16D2"/>
    <w:rsid w:val="006A6B9D"/>
    <w:rsid w:val="006A7392"/>
    <w:rsid w:val="006B3189"/>
    <w:rsid w:val="006B4FA8"/>
    <w:rsid w:val="006B7746"/>
    <w:rsid w:val="006B7D65"/>
    <w:rsid w:val="006C5D3C"/>
    <w:rsid w:val="006C6176"/>
    <w:rsid w:val="006C7A40"/>
    <w:rsid w:val="006D1347"/>
    <w:rsid w:val="006D6DA6"/>
    <w:rsid w:val="006E3562"/>
    <w:rsid w:val="006E564B"/>
    <w:rsid w:val="006F13F0"/>
    <w:rsid w:val="006F2688"/>
    <w:rsid w:val="006F5035"/>
    <w:rsid w:val="006F61C0"/>
    <w:rsid w:val="007065EB"/>
    <w:rsid w:val="00711D6A"/>
    <w:rsid w:val="00713EFE"/>
    <w:rsid w:val="00720183"/>
    <w:rsid w:val="0072305E"/>
    <w:rsid w:val="0072632A"/>
    <w:rsid w:val="00730BB7"/>
    <w:rsid w:val="007333F5"/>
    <w:rsid w:val="00741CA0"/>
    <w:rsid w:val="0074200B"/>
    <w:rsid w:val="00755C5B"/>
    <w:rsid w:val="007630E4"/>
    <w:rsid w:val="00791002"/>
    <w:rsid w:val="007A45FE"/>
    <w:rsid w:val="007A6296"/>
    <w:rsid w:val="007A6C13"/>
    <w:rsid w:val="007A79E4"/>
    <w:rsid w:val="007B6BA5"/>
    <w:rsid w:val="007C1B62"/>
    <w:rsid w:val="007C3390"/>
    <w:rsid w:val="007C40A7"/>
    <w:rsid w:val="007C4F4B"/>
    <w:rsid w:val="007D2CDC"/>
    <w:rsid w:val="007D5327"/>
    <w:rsid w:val="007E11A7"/>
    <w:rsid w:val="007E42AA"/>
    <w:rsid w:val="007F6611"/>
    <w:rsid w:val="007F6D5A"/>
    <w:rsid w:val="008155C3"/>
    <w:rsid w:val="008175E9"/>
    <w:rsid w:val="0082243E"/>
    <w:rsid w:val="008242D7"/>
    <w:rsid w:val="0085667A"/>
    <w:rsid w:val="00856CD2"/>
    <w:rsid w:val="00861A42"/>
    <w:rsid w:val="00861BC6"/>
    <w:rsid w:val="0086705F"/>
    <w:rsid w:val="00871FD5"/>
    <w:rsid w:val="00883D07"/>
    <w:rsid w:val="008847BB"/>
    <w:rsid w:val="008875AB"/>
    <w:rsid w:val="008979B1"/>
    <w:rsid w:val="008A0CB5"/>
    <w:rsid w:val="008A0FA2"/>
    <w:rsid w:val="008A5B28"/>
    <w:rsid w:val="008A5F30"/>
    <w:rsid w:val="008A695D"/>
    <w:rsid w:val="008A6B25"/>
    <w:rsid w:val="008A6C4F"/>
    <w:rsid w:val="008B4455"/>
    <w:rsid w:val="008C1E4D"/>
    <w:rsid w:val="008E0E46"/>
    <w:rsid w:val="008E40DD"/>
    <w:rsid w:val="008E5AB9"/>
    <w:rsid w:val="0090452C"/>
    <w:rsid w:val="00907C3F"/>
    <w:rsid w:val="009218B8"/>
    <w:rsid w:val="0092237C"/>
    <w:rsid w:val="00925FA0"/>
    <w:rsid w:val="00934E17"/>
    <w:rsid w:val="0093707B"/>
    <w:rsid w:val="009400EB"/>
    <w:rsid w:val="009427E3"/>
    <w:rsid w:val="00946575"/>
    <w:rsid w:val="00950A16"/>
    <w:rsid w:val="00951CFE"/>
    <w:rsid w:val="00956D9B"/>
    <w:rsid w:val="00957D34"/>
    <w:rsid w:val="00963CBA"/>
    <w:rsid w:val="009654B7"/>
    <w:rsid w:val="00966063"/>
    <w:rsid w:val="00974EAB"/>
    <w:rsid w:val="0098200F"/>
    <w:rsid w:val="00990521"/>
    <w:rsid w:val="00990DA6"/>
    <w:rsid w:val="00991261"/>
    <w:rsid w:val="0099403D"/>
    <w:rsid w:val="00994F84"/>
    <w:rsid w:val="00996E1F"/>
    <w:rsid w:val="009A0B83"/>
    <w:rsid w:val="009B10B2"/>
    <w:rsid w:val="009B23E2"/>
    <w:rsid w:val="009B311F"/>
    <w:rsid w:val="009B3800"/>
    <w:rsid w:val="009C071A"/>
    <w:rsid w:val="009C6942"/>
    <w:rsid w:val="009C746D"/>
    <w:rsid w:val="009D22AC"/>
    <w:rsid w:val="009D40E1"/>
    <w:rsid w:val="009D50DB"/>
    <w:rsid w:val="009D5678"/>
    <w:rsid w:val="009D644C"/>
    <w:rsid w:val="009E1C4E"/>
    <w:rsid w:val="00A0036A"/>
    <w:rsid w:val="00A0595D"/>
    <w:rsid w:val="00A05E0B"/>
    <w:rsid w:val="00A1427D"/>
    <w:rsid w:val="00A14AE9"/>
    <w:rsid w:val="00A4080A"/>
    <w:rsid w:val="00A4634F"/>
    <w:rsid w:val="00A51CF3"/>
    <w:rsid w:val="00A652A7"/>
    <w:rsid w:val="00A6649F"/>
    <w:rsid w:val="00A72F22"/>
    <w:rsid w:val="00A73D32"/>
    <w:rsid w:val="00A748A6"/>
    <w:rsid w:val="00A86685"/>
    <w:rsid w:val="00A879A4"/>
    <w:rsid w:val="00A87E95"/>
    <w:rsid w:val="00A92422"/>
    <w:rsid w:val="00A92E29"/>
    <w:rsid w:val="00AC5AE2"/>
    <w:rsid w:val="00AD09E9"/>
    <w:rsid w:val="00AD2686"/>
    <w:rsid w:val="00AF0576"/>
    <w:rsid w:val="00AF3829"/>
    <w:rsid w:val="00AF611B"/>
    <w:rsid w:val="00B037F0"/>
    <w:rsid w:val="00B03FC7"/>
    <w:rsid w:val="00B12474"/>
    <w:rsid w:val="00B2327D"/>
    <w:rsid w:val="00B2718F"/>
    <w:rsid w:val="00B27CB1"/>
    <w:rsid w:val="00B30179"/>
    <w:rsid w:val="00B3317B"/>
    <w:rsid w:val="00B334DC"/>
    <w:rsid w:val="00B3631A"/>
    <w:rsid w:val="00B407E4"/>
    <w:rsid w:val="00B447CE"/>
    <w:rsid w:val="00B47648"/>
    <w:rsid w:val="00B507C0"/>
    <w:rsid w:val="00B51283"/>
    <w:rsid w:val="00B53013"/>
    <w:rsid w:val="00B5727A"/>
    <w:rsid w:val="00B67F5E"/>
    <w:rsid w:val="00B73E65"/>
    <w:rsid w:val="00B76A2B"/>
    <w:rsid w:val="00B76D5F"/>
    <w:rsid w:val="00B81E12"/>
    <w:rsid w:val="00B8293F"/>
    <w:rsid w:val="00B87110"/>
    <w:rsid w:val="00B97DC9"/>
    <w:rsid w:val="00B97FA8"/>
    <w:rsid w:val="00BB3256"/>
    <w:rsid w:val="00BC03B3"/>
    <w:rsid w:val="00BC1385"/>
    <w:rsid w:val="00BC74E9"/>
    <w:rsid w:val="00BD4DBB"/>
    <w:rsid w:val="00BD6663"/>
    <w:rsid w:val="00BE618E"/>
    <w:rsid w:val="00BE655C"/>
    <w:rsid w:val="00BF3E51"/>
    <w:rsid w:val="00BF764D"/>
    <w:rsid w:val="00C06876"/>
    <w:rsid w:val="00C06DE2"/>
    <w:rsid w:val="00C20A50"/>
    <w:rsid w:val="00C217E7"/>
    <w:rsid w:val="00C24693"/>
    <w:rsid w:val="00C24B9D"/>
    <w:rsid w:val="00C35F0B"/>
    <w:rsid w:val="00C463DD"/>
    <w:rsid w:val="00C64458"/>
    <w:rsid w:val="00C65883"/>
    <w:rsid w:val="00C67C44"/>
    <w:rsid w:val="00C727AF"/>
    <w:rsid w:val="00C74579"/>
    <w:rsid w:val="00C745C3"/>
    <w:rsid w:val="00C7488A"/>
    <w:rsid w:val="00C82264"/>
    <w:rsid w:val="00C91DDE"/>
    <w:rsid w:val="00CA2A58"/>
    <w:rsid w:val="00CB67A2"/>
    <w:rsid w:val="00CC0B55"/>
    <w:rsid w:val="00CC1594"/>
    <w:rsid w:val="00CD3A34"/>
    <w:rsid w:val="00CD6995"/>
    <w:rsid w:val="00CE18BB"/>
    <w:rsid w:val="00CE4A8F"/>
    <w:rsid w:val="00CE7BA5"/>
    <w:rsid w:val="00CF0214"/>
    <w:rsid w:val="00CF586F"/>
    <w:rsid w:val="00CF7D43"/>
    <w:rsid w:val="00D11129"/>
    <w:rsid w:val="00D16C4F"/>
    <w:rsid w:val="00D2031B"/>
    <w:rsid w:val="00D22332"/>
    <w:rsid w:val="00D25FE2"/>
    <w:rsid w:val="00D35002"/>
    <w:rsid w:val="00D43252"/>
    <w:rsid w:val="00D550F9"/>
    <w:rsid w:val="00D572B0"/>
    <w:rsid w:val="00D62A67"/>
    <w:rsid w:val="00D62E90"/>
    <w:rsid w:val="00D6546A"/>
    <w:rsid w:val="00D659E4"/>
    <w:rsid w:val="00D76BE5"/>
    <w:rsid w:val="00D80EB1"/>
    <w:rsid w:val="00D83612"/>
    <w:rsid w:val="00D978C6"/>
    <w:rsid w:val="00DA67AD"/>
    <w:rsid w:val="00DB1068"/>
    <w:rsid w:val="00DB18CE"/>
    <w:rsid w:val="00DB5566"/>
    <w:rsid w:val="00DB5F99"/>
    <w:rsid w:val="00DE3EC0"/>
    <w:rsid w:val="00DE58F8"/>
    <w:rsid w:val="00E06D72"/>
    <w:rsid w:val="00E11593"/>
    <w:rsid w:val="00E12B6B"/>
    <w:rsid w:val="00E12C7B"/>
    <w:rsid w:val="00E130AB"/>
    <w:rsid w:val="00E30FA6"/>
    <w:rsid w:val="00E367CC"/>
    <w:rsid w:val="00E4107E"/>
    <w:rsid w:val="00E438D9"/>
    <w:rsid w:val="00E5644E"/>
    <w:rsid w:val="00E6334A"/>
    <w:rsid w:val="00E7260F"/>
    <w:rsid w:val="00E806EE"/>
    <w:rsid w:val="00E86561"/>
    <w:rsid w:val="00E96630"/>
    <w:rsid w:val="00EB0FB9"/>
    <w:rsid w:val="00EB203D"/>
    <w:rsid w:val="00EB3A40"/>
    <w:rsid w:val="00EB5E8B"/>
    <w:rsid w:val="00EB651C"/>
    <w:rsid w:val="00EB6C15"/>
    <w:rsid w:val="00ED0CA9"/>
    <w:rsid w:val="00ED5491"/>
    <w:rsid w:val="00ED7A2A"/>
    <w:rsid w:val="00EE06CD"/>
    <w:rsid w:val="00EE0BE5"/>
    <w:rsid w:val="00EF1D7F"/>
    <w:rsid w:val="00EF22A7"/>
    <w:rsid w:val="00EF5BDB"/>
    <w:rsid w:val="00F07FD9"/>
    <w:rsid w:val="00F23933"/>
    <w:rsid w:val="00F24119"/>
    <w:rsid w:val="00F40E75"/>
    <w:rsid w:val="00F42CD9"/>
    <w:rsid w:val="00F51F2B"/>
    <w:rsid w:val="00F52936"/>
    <w:rsid w:val="00F54083"/>
    <w:rsid w:val="00F677CB"/>
    <w:rsid w:val="00F67B04"/>
    <w:rsid w:val="00FA7DF3"/>
    <w:rsid w:val="00FB60EC"/>
    <w:rsid w:val="00FC38F6"/>
    <w:rsid w:val="00FC3CEC"/>
    <w:rsid w:val="00FC68B7"/>
    <w:rsid w:val="00FD280B"/>
    <w:rsid w:val="00FD5217"/>
    <w:rsid w:val="00FD7C12"/>
    <w:rsid w:val="00FE78CF"/>
  </w:rsids>
  <m:mathPr>
    <m:mathFont m:val="Cambria Math"/>
    <m:brkBin m:val="before"/>
    <m:brkBinSub m:val="--"/>
    <m:smallFrac m:val="0"/>
    <m:dispDef/>
    <m:lMargin m:val="0"/>
    <m:rMargin m:val="0"/>
    <m:defJc m:val="centerGroup"/>
    <m:wrapIndent m:val="1440"/>
    <m:intLim m:val="subSup"/>
    <m:naryLim m:val="undOvr"/>
  </m:mathPr>
  <w:themeFontLang w:val="fr-FR"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FCD8F64"/>
  <w15:docId w15:val="{2890BF9D-58BE-46F0-B0BC-6DB8A07B79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qFormat="1"/>
    <w:lsdException w:name="annotation text" w:semiHidden="1" w:uiPriority="99" w:unhideWhenUsed="1"/>
    <w:lsdException w:name="header" w:semiHidden="1" w:unhideWhenUsed="1" w:qFormat="1"/>
    <w:lsdException w:name="footer" w:semiHidden="1"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qFormat="1"/>
    <w:lsdException w:name="annotation reference" w:semiHidden="1" w:uiPriority="99" w:unhideWhenUsed="1"/>
    <w:lsdException w:name="line number" w:semiHidden="1" w:unhideWhenUsed="1"/>
    <w:lsdException w:name="page number" w:semiHidden="1" w:unhideWhenUsed="1" w:qFormat="1"/>
    <w:lsdException w:name="endnote reference" w:semiHidden="1" w:unhideWhenUsed="1" w:qFormat="1"/>
    <w:lsdException w:name="endnote text" w:semiHidden="1" w:unhideWhenUsed="1" w:qFormat="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lsdException w:name="List 2" w:semiHidden="1" w:unhideWhenUsed="1"/>
    <w:lsdException w:name="List 3" w:semiHidden="1" w:unhideWhenUsed="1"/>
    <w:lsdException w:name="List 4" w:semiHidden="1"/>
    <w:lsdException w:name="List 5" w:semiHidden="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qFormat="1"/>
    <w:lsdException w:name="Salutation" w:semiHidden="1"/>
    <w:lsdException w:name="Date" w:semiHidden="1"/>
    <w:lsdException w:name="Body Text First Indent" w:semiHidden="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qFormat="1"/>
    <w:lsdException w:name="Emphasis" w:semiHidden="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46924"/>
    <w:pPr>
      <w:suppressAutoHyphens/>
      <w:spacing w:line="240" w:lineRule="atLeast"/>
    </w:pPr>
    <w:rPr>
      <w:lang w:eastAsia="en-US"/>
    </w:rPr>
  </w:style>
  <w:style w:type="paragraph" w:styleId="Heading1">
    <w:name w:val="heading 1"/>
    <w:aliases w:val="Table_G"/>
    <w:basedOn w:val="SingleTxtG"/>
    <w:next w:val="SingleTxtG"/>
    <w:qFormat/>
    <w:rsid w:val="00CF0214"/>
    <w:pPr>
      <w:spacing w:after="0" w:line="240" w:lineRule="auto"/>
      <w:ind w:right="0"/>
      <w:jc w:val="left"/>
      <w:outlineLvl w:val="0"/>
    </w:pPr>
  </w:style>
  <w:style w:type="paragraph" w:styleId="Heading2">
    <w:name w:val="heading 2"/>
    <w:basedOn w:val="Normal"/>
    <w:next w:val="Normal"/>
    <w:semiHidden/>
    <w:qFormat/>
    <w:rsid w:val="00CF0214"/>
    <w:pPr>
      <w:spacing w:line="240" w:lineRule="auto"/>
      <w:outlineLvl w:val="1"/>
    </w:pPr>
  </w:style>
  <w:style w:type="paragraph" w:styleId="Heading3">
    <w:name w:val="heading 3"/>
    <w:basedOn w:val="Normal"/>
    <w:next w:val="Normal"/>
    <w:semiHidden/>
    <w:qFormat/>
    <w:rsid w:val="00CF0214"/>
    <w:pPr>
      <w:spacing w:line="240" w:lineRule="auto"/>
      <w:outlineLvl w:val="2"/>
    </w:pPr>
  </w:style>
  <w:style w:type="paragraph" w:styleId="Heading4">
    <w:name w:val="heading 4"/>
    <w:basedOn w:val="Normal"/>
    <w:next w:val="Normal"/>
    <w:semiHidden/>
    <w:qFormat/>
    <w:rsid w:val="00CF0214"/>
    <w:pPr>
      <w:spacing w:line="240" w:lineRule="auto"/>
      <w:outlineLvl w:val="3"/>
    </w:pPr>
  </w:style>
  <w:style w:type="paragraph" w:styleId="Heading5">
    <w:name w:val="heading 5"/>
    <w:basedOn w:val="Normal"/>
    <w:next w:val="Normal"/>
    <w:semiHidden/>
    <w:qFormat/>
    <w:rsid w:val="00CF0214"/>
    <w:pPr>
      <w:spacing w:line="240" w:lineRule="auto"/>
      <w:outlineLvl w:val="4"/>
    </w:pPr>
  </w:style>
  <w:style w:type="paragraph" w:styleId="Heading6">
    <w:name w:val="heading 6"/>
    <w:basedOn w:val="Normal"/>
    <w:next w:val="Normal"/>
    <w:semiHidden/>
    <w:qFormat/>
    <w:rsid w:val="00CF0214"/>
    <w:pPr>
      <w:spacing w:line="240" w:lineRule="auto"/>
      <w:outlineLvl w:val="5"/>
    </w:pPr>
  </w:style>
  <w:style w:type="paragraph" w:styleId="Heading7">
    <w:name w:val="heading 7"/>
    <w:basedOn w:val="Normal"/>
    <w:next w:val="Normal"/>
    <w:semiHidden/>
    <w:qFormat/>
    <w:rsid w:val="00CF0214"/>
    <w:pPr>
      <w:spacing w:line="240" w:lineRule="auto"/>
      <w:outlineLvl w:val="6"/>
    </w:pPr>
  </w:style>
  <w:style w:type="paragraph" w:styleId="Heading8">
    <w:name w:val="heading 8"/>
    <w:basedOn w:val="Normal"/>
    <w:next w:val="Normal"/>
    <w:semiHidden/>
    <w:qFormat/>
    <w:rsid w:val="00CF0214"/>
    <w:pPr>
      <w:spacing w:line="240" w:lineRule="auto"/>
      <w:outlineLvl w:val="7"/>
    </w:pPr>
  </w:style>
  <w:style w:type="paragraph" w:styleId="Heading9">
    <w:name w:val="heading 9"/>
    <w:basedOn w:val="Normal"/>
    <w:next w:val="Normal"/>
    <w:semiHidden/>
    <w:qFormat/>
    <w:rsid w:val="00CF0214"/>
    <w:pPr>
      <w:spacing w:line="240" w:lineRule="auto"/>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ingleTxtG">
    <w:name w:val="_ Single Txt_G"/>
    <w:basedOn w:val="Normal"/>
    <w:link w:val="SingleTxtGChar"/>
    <w:qFormat/>
    <w:rsid w:val="00CF0214"/>
    <w:pPr>
      <w:spacing w:after="120"/>
      <w:ind w:left="1134" w:right="1134"/>
      <w:jc w:val="both"/>
    </w:pPr>
  </w:style>
  <w:style w:type="paragraph" w:customStyle="1" w:styleId="HMG">
    <w:name w:val="_ H __M_G"/>
    <w:basedOn w:val="Normal"/>
    <w:next w:val="Normal"/>
    <w:qFormat/>
    <w:rsid w:val="00CF0214"/>
    <w:pPr>
      <w:keepNext/>
      <w:keepLines/>
      <w:tabs>
        <w:tab w:val="right" w:pos="851"/>
      </w:tabs>
      <w:spacing w:before="240" w:after="240" w:line="360" w:lineRule="exact"/>
      <w:ind w:left="1134" w:right="1134" w:hanging="1134"/>
    </w:pPr>
    <w:rPr>
      <w:b/>
      <w:sz w:val="34"/>
    </w:rPr>
  </w:style>
  <w:style w:type="paragraph" w:customStyle="1" w:styleId="HChG">
    <w:name w:val="_ H _Ch_G"/>
    <w:basedOn w:val="Normal"/>
    <w:next w:val="Normal"/>
    <w:qFormat/>
    <w:rsid w:val="00CF0214"/>
    <w:pPr>
      <w:keepNext/>
      <w:keepLines/>
      <w:tabs>
        <w:tab w:val="right" w:pos="851"/>
      </w:tabs>
      <w:spacing w:before="360" w:after="240" w:line="300" w:lineRule="exact"/>
      <w:ind w:left="1134" w:right="1134" w:hanging="1134"/>
    </w:pPr>
    <w:rPr>
      <w:b/>
      <w:sz w:val="28"/>
    </w:rPr>
  </w:style>
  <w:style w:type="character" w:styleId="FootnoteReference">
    <w:name w:val="footnote reference"/>
    <w:aliases w:val="4_G"/>
    <w:uiPriority w:val="99"/>
    <w:qFormat/>
    <w:rsid w:val="00CF0214"/>
    <w:rPr>
      <w:rFonts w:ascii="Times New Roman" w:hAnsi="Times New Roman"/>
      <w:sz w:val="18"/>
      <w:vertAlign w:val="superscript"/>
    </w:rPr>
  </w:style>
  <w:style w:type="character" w:styleId="EndnoteReference">
    <w:name w:val="endnote reference"/>
    <w:aliases w:val="1_G"/>
    <w:qFormat/>
    <w:rsid w:val="00CF0214"/>
    <w:rPr>
      <w:rFonts w:ascii="Times New Roman" w:hAnsi="Times New Roman"/>
      <w:sz w:val="18"/>
      <w:vertAlign w:val="superscript"/>
    </w:rPr>
  </w:style>
  <w:style w:type="paragraph" w:styleId="Header">
    <w:name w:val="header"/>
    <w:aliases w:val="6_G"/>
    <w:basedOn w:val="Normal"/>
    <w:qFormat/>
    <w:rsid w:val="00CF0214"/>
    <w:pPr>
      <w:pBdr>
        <w:bottom w:val="single" w:sz="4" w:space="4" w:color="auto"/>
      </w:pBdr>
      <w:spacing w:line="240" w:lineRule="auto"/>
    </w:pPr>
    <w:rPr>
      <w:b/>
      <w:sz w:val="18"/>
    </w:rPr>
  </w:style>
  <w:style w:type="table" w:styleId="TableGrid">
    <w:name w:val="Table Grid"/>
    <w:basedOn w:val="TableNormal"/>
    <w:semiHidden/>
    <w:rsid w:val="00CF0214"/>
    <w:pPr>
      <w:suppressAutoHyphens/>
      <w:spacing w:line="240" w:lineRule="atLeas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
  </w:style>
  <w:style w:type="character" w:styleId="Hyperlink">
    <w:name w:val="Hyperlink"/>
    <w:semiHidden/>
    <w:rsid w:val="00CF0214"/>
    <w:rPr>
      <w:color w:val="auto"/>
      <w:u w:val="none"/>
    </w:rPr>
  </w:style>
  <w:style w:type="character" w:styleId="FollowedHyperlink">
    <w:name w:val="FollowedHyperlink"/>
    <w:semiHidden/>
    <w:rsid w:val="00CF0214"/>
    <w:rPr>
      <w:color w:val="auto"/>
      <w:u w:val="none"/>
    </w:rPr>
  </w:style>
  <w:style w:type="paragraph" w:customStyle="1" w:styleId="SMG">
    <w:name w:val="__S_M_G"/>
    <w:basedOn w:val="Normal"/>
    <w:next w:val="Normal"/>
    <w:rsid w:val="00CF0214"/>
    <w:pPr>
      <w:keepNext/>
      <w:keepLines/>
      <w:spacing w:before="240" w:after="240" w:line="420" w:lineRule="exact"/>
      <w:ind w:left="1134" w:right="1134"/>
    </w:pPr>
    <w:rPr>
      <w:b/>
      <w:sz w:val="40"/>
    </w:rPr>
  </w:style>
  <w:style w:type="paragraph" w:customStyle="1" w:styleId="SLG">
    <w:name w:val="__S_L_G"/>
    <w:basedOn w:val="Normal"/>
    <w:next w:val="Normal"/>
    <w:rsid w:val="00CF0214"/>
    <w:pPr>
      <w:keepNext/>
      <w:keepLines/>
      <w:spacing w:before="240" w:after="240" w:line="580" w:lineRule="exact"/>
      <w:ind w:left="1134" w:right="1134"/>
    </w:pPr>
    <w:rPr>
      <w:b/>
      <w:sz w:val="56"/>
    </w:rPr>
  </w:style>
  <w:style w:type="paragraph" w:customStyle="1" w:styleId="SSG">
    <w:name w:val="__S_S_G"/>
    <w:basedOn w:val="Normal"/>
    <w:next w:val="Normal"/>
    <w:rsid w:val="00CF0214"/>
    <w:pPr>
      <w:keepNext/>
      <w:keepLines/>
      <w:spacing w:before="240" w:after="240" w:line="300" w:lineRule="exact"/>
      <w:ind w:left="1134" w:right="1134"/>
    </w:pPr>
    <w:rPr>
      <w:b/>
      <w:sz w:val="28"/>
    </w:rPr>
  </w:style>
  <w:style w:type="paragraph" w:styleId="FootnoteText">
    <w:name w:val="footnote text"/>
    <w:aliases w:val="5_G"/>
    <w:basedOn w:val="Normal"/>
    <w:link w:val="FootnoteTextChar"/>
    <w:uiPriority w:val="99"/>
    <w:qFormat/>
    <w:rsid w:val="00CF0214"/>
    <w:pPr>
      <w:tabs>
        <w:tab w:val="right" w:pos="1021"/>
      </w:tabs>
      <w:spacing w:line="220" w:lineRule="exact"/>
      <w:ind w:left="1134" w:right="1134" w:hanging="1134"/>
    </w:pPr>
    <w:rPr>
      <w:sz w:val="18"/>
    </w:rPr>
  </w:style>
  <w:style w:type="paragraph" w:styleId="EndnoteText">
    <w:name w:val="endnote text"/>
    <w:aliases w:val="2_G"/>
    <w:basedOn w:val="FootnoteText"/>
    <w:qFormat/>
    <w:rsid w:val="00CF0214"/>
  </w:style>
  <w:style w:type="character" w:styleId="PageNumber">
    <w:name w:val="page number"/>
    <w:aliases w:val="7_G"/>
    <w:qFormat/>
    <w:rsid w:val="00CF0214"/>
    <w:rPr>
      <w:rFonts w:ascii="Times New Roman" w:hAnsi="Times New Roman"/>
      <w:b/>
      <w:sz w:val="18"/>
    </w:rPr>
  </w:style>
  <w:style w:type="paragraph" w:customStyle="1" w:styleId="XLargeG">
    <w:name w:val="__XLarge_G"/>
    <w:basedOn w:val="Normal"/>
    <w:next w:val="Normal"/>
    <w:rsid w:val="00CF0214"/>
    <w:pPr>
      <w:keepNext/>
      <w:keepLines/>
      <w:spacing w:before="240" w:after="240" w:line="420" w:lineRule="exact"/>
      <w:ind w:left="1134" w:right="1134"/>
    </w:pPr>
    <w:rPr>
      <w:b/>
      <w:sz w:val="40"/>
    </w:rPr>
  </w:style>
  <w:style w:type="paragraph" w:customStyle="1" w:styleId="Bullet1G">
    <w:name w:val="_Bullet 1_G"/>
    <w:basedOn w:val="Normal"/>
    <w:qFormat/>
    <w:rsid w:val="00CF0214"/>
    <w:pPr>
      <w:numPr>
        <w:numId w:val="6"/>
      </w:numPr>
      <w:spacing w:after="120"/>
      <w:ind w:right="1134"/>
      <w:jc w:val="both"/>
    </w:pPr>
  </w:style>
  <w:style w:type="paragraph" w:styleId="Footer">
    <w:name w:val="footer"/>
    <w:aliases w:val="3_G"/>
    <w:basedOn w:val="Normal"/>
    <w:qFormat/>
    <w:rsid w:val="00CF0214"/>
    <w:pPr>
      <w:spacing w:line="240" w:lineRule="auto"/>
    </w:pPr>
    <w:rPr>
      <w:sz w:val="16"/>
    </w:rPr>
  </w:style>
  <w:style w:type="paragraph" w:customStyle="1" w:styleId="Bullet2G">
    <w:name w:val="_Bullet 2_G"/>
    <w:basedOn w:val="Normal"/>
    <w:qFormat/>
    <w:rsid w:val="00CF0214"/>
    <w:pPr>
      <w:numPr>
        <w:numId w:val="7"/>
      </w:numPr>
      <w:spacing w:after="120"/>
      <w:ind w:right="1134"/>
      <w:jc w:val="both"/>
    </w:pPr>
  </w:style>
  <w:style w:type="paragraph" w:customStyle="1" w:styleId="H1G">
    <w:name w:val="_ H_1_G"/>
    <w:basedOn w:val="Normal"/>
    <w:next w:val="Normal"/>
    <w:qFormat/>
    <w:rsid w:val="00CF0214"/>
    <w:pPr>
      <w:keepNext/>
      <w:keepLines/>
      <w:tabs>
        <w:tab w:val="right" w:pos="851"/>
      </w:tabs>
      <w:spacing w:before="360" w:after="240" w:line="270" w:lineRule="exact"/>
      <w:ind w:left="1134" w:right="1134" w:hanging="1134"/>
    </w:pPr>
    <w:rPr>
      <w:b/>
      <w:sz w:val="24"/>
    </w:rPr>
  </w:style>
  <w:style w:type="paragraph" w:customStyle="1" w:styleId="H23G">
    <w:name w:val="_ H_2/3_G"/>
    <w:basedOn w:val="Normal"/>
    <w:next w:val="Normal"/>
    <w:qFormat/>
    <w:rsid w:val="00CF0214"/>
    <w:pPr>
      <w:keepNext/>
      <w:keepLines/>
      <w:tabs>
        <w:tab w:val="right" w:pos="851"/>
      </w:tabs>
      <w:spacing w:before="240" w:after="120" w:line="240" w:lineRule="exact"/>
      <w:ind w:left="1134" w:right="1134" w:hanging="1134"/>
    </w:pPr>
    <w:rPr>
      <w:b/>
    </w:rPr>
  </w:style>
  <w:style w:type="paragraph" w:customStyle="1" w:styleId="H4G">
    <w:name w:val="_ H_4_G"/>
    <w:basedOn w:val="Normal"/>
    <w:next w:val="Normal"/>
    <w:qFormat/>
    <w:rsid w:val="00CF0214"/>
    <w:pPr>
      <w:keepNext/>
      <w:keepLines/>
      <w:tabs>
        <w:tab w:val="right" w:pos="851"/>
      </w:tabs>
      <w:spacing w:before="240" w:after="120" w:line="240" w:lineRule="exact"/>
      <w:ind w:left="1134" w:right="1134" w:hanging="1134"/>
    </w:pPr>
    <w:rPr>
      <w:i/>
    </w:rPr>
  </w:style>
  <w:style w:type="paragraph" w:customStyle="1" w:styleId="H56G">
    <w:name w:val="_ H_5/6_G"/>
    <w:basedOn w:val="Normal"/>
    <w:next w:val="Normal"/>
    <w:qFormat/>
    <w:rsid w:val="00CF0214"/>
    <w:pPr>
      <w:keepNext/>
      <w:keepLines/>
      <w:tabs>
        <w:tab w:val="right" w:pos="851"/>
      </w:tabs>
      <w:spacing w:before="240" w:after="120" w:line="240" w:lineRule="exact"/>
      <w:ind w:left="1134" w:right="1134" w:hanging="1134"/>
    </w:pPr>
  </w:style>
  <w:style w:type="paragraph" w:styleId="BalloonText">
    <w:name w:val="Balloon Text"/>
    <w:basedOn w:val="Normal"/>
    <w:link w:val="BalloonTextChar"/>
    <w:semiHidden/>
    <w:rsid w:val="00946575"/>
    <w:pPr>
      <w:spacing w:line="240" w:lineRule="auto"/>
    </w:pPr>
    <w:rPr>
      <w:rFonts w:ascii="Tahoma" w:hAnsi="Tahoma" w:cs="Tahoma"/>
      <w:sz w:val="16"/>
      <w:szCs w:val="16"/>
    </w:rPr>
  </w:style>
  <w:style w:type="character" w:customStyle="1" w:styleId="BalloonTextChar">
    <w:name w:val="Balloon Text Char"/>
    <w:link w:val="BalloonText"/>
    <w:semiHidden/>
    <w:rsid w:val="00946575"/>
    <w:rPr>
      <w:rFonts w:ascii="Tahoma" w:hAnsi="Tahoma" w:cs="Tahoma"/>
      <w:sz w:val="16"/>
      <w:szCs w:val="16"/>
      <w:lang w:val="en-GB" w:eastAsia="en-US"/>
    </w:rPr>
  </w:style>
  <w:style w:type="paragraph" w:customStyle="1" w:styleId="ParNoG">
    <w:name w:val="_ParNo_G"/>
    <w:basedOn w:val="SingleTxtG"/>
    <w:qFormat/>
    <w:rsid w:val="005A0E16"/>
    <w:pPr>
      <w:numPr>
        <w:numId w:val="8"/>
      </w:numPr>
      <w:kinsoku w:val="0"/>
      <w:overflowPunct w:val="0"/>
      <w:autoSpaceDE w:val="0"/>
      <w:autoSpaceDN w:val="0"/>
      <w:adjustRightInd w:val="0"/>
      <w:snapToGrid w:val="0"/>
    </w:pPr>
  </w:style>
  <w:style w:type="character" w:styleId="CommentReference">
    <w:name w:val="annotation reference"/>
    <w:basedOn w:val="DefaultParagraphFont"/>
    <w:uiPriority w:val="99"/>
    <w:semiHidden/>
    <w:unhideWhenUsed/>
    <w:rsid w:val="00224563"/>
    <w:rPr>
      <w:sz w:val="16"/>
      <w:szCs w:val="16"/>
    </w:rPr>
  </w:style>
  <w:style w:type="paragraph" w:styleId="CommentText">
    <w:name w:val="annotation text"/>
    <w:basedOn w:val="Normal"/>
    <w:link w:val="CommentTextChar"/>
    <w:uiPriority w:val="99"/>
    <w:unhideWhenUsed/>
    <w:rsid w:val="00224563"/>
    <w:pPr>
      <w:spacing w:line="240" w:lineRule="auto"/>
    </w:pPr>
  </w:style>
  <w:style w:type="character" w:customStyle="1" w:styleId="CommentTextChar">
    <w:name w:val="Comment Text Char"/>
    <w:basedOn w:val="DefaultParagraphFont"/>
    <w:link w:val="CommentText"/>
    <w:uiPriority w:val="99"/>
    <w:rsid w:val="00224563"/>
    <w:rPr>
      <w:lang w:eastAsia="en-US"/>
    </w:rPr>
  </w:style>
  <w:style w:type="paragraph" w:styleId="CommentSubject">
    <w:name w:val="annotation subject"/>
    <w:basedOn w:val="CommentText"/>
    <w:next w:val="CommentText"/>
    <w:link w:val="CommentSubjectChar"/>
    <w:semiHidden/>
    <w:unhideWhenUsed/>
    <w:rsid w:val="00224563"/>
    <w:rPr>
      <w:b/>
      <w:bCs/>
    </w:rPr>
  </w:style>
  <w:style w:type="character" w:customStyle="1" w:styleId="CommentSubjectChar">
    <w:name w:val="Comment Subject Char"/>
    <w:basedOn w:val="CommentTextChar"/>
    <w:link w:val="CommentSubject"/>
    <w:semiHidden/>
    <w:rsid w:val="00224563"/>
    <w:rPr>
      <w:b/>
      <w:bCs/>
      <w:lang w:eastAsia="en-US"/>
    </w:rPr>
  </w:style>
  <w:style w:type="character" w:customStyle="1" w:styleId="SingleTxtGChar">
    <w:name w:val="_ Single Txt_G Char"/>
    <w:basedOn w:val="DefaultParagraphFont"/>
    <w:link w:val="SingleTxtG"/>
    <w:locked/>
    <w:rsid w:val="00755C5B"/>
    <w:rPr>
      <w:lang w:eastAsia="en-US"/>
    </w:rPr>
  </w:style>
  <w:style w:type="paragraph" w:styleId="Revision">
    <w:name w:val="Revision"/>
    <w:hidden/>
    <w:uiPriority w:val="99"/>
    <w:semiHidden/>
    <w:rsid w:val="006C6176"/>
    <w:rPr>
      <w:lang w:eastAsia="en-US"/>
    </w:rPr>
  </w:style>
  <w:style w:type="character" w:customStyle="1" w:styleId="FootnoteTextChar">
    <w:name w:val="Footnote Text Char"/>
    <w:aliases w:val="5_G Char"/>
    <w:basedOn w:val="DefaultParagraphFont"/>
    <w:link w:val="FootnoteText"/>
    <w:uiPriority w:val="99"/>
    <w:rsid w:val="00B447CE"/>
    <w:rPr>
      <w:sz w:val="1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4515537">
      <w:bodyDiv w:val="1"/>
      <w:marLeft w:val="0"/>
      <w:marRight w:val="0"/>
      <w:marTop w:val="0"/>
      <w:marBottom w:val="0"/>
      <w:divBdr>
        <w:top w:val="none" w:sz="0" w:space="0" w:color="auto"/>
        <w:left w:val="none" w:sz="0" w:space="0" w:color="auto"/>
        <w:bottom w:val="none" w:sz="0" w:space="0" w:color="auto"/>
        <w:right w:val="none" w:sz="0" w:space="0" w:color="auto"/>
      </w:divBdr>
    </w:div>
    <w:div w:id="503672568">
      <w:bodyDiv w:val="1"/>
      <w:marLeft w:val="0"/>
      <w:marRight w:val="0"/>
      <w:marTop w:val="0"/>
      <w:marBottom w:val="0"/>
      <w:divBdr>
        <w:top w:val="none" w:sz="0" w:space="0" w:color="auto"/>
        <w:left w:val="none" w:sz="0" w:space="0" w:color="auto"/>
        <w:bottom w:val="none" w:sz="0" w:space="0" w:color="auto"/>
        <w:right w:val="none" w:sz="0" w:space="0" w:color="auto"/>
      </w:divBdr>
    </w:div>
    <w:div w:id="732436497">
      <w:bodyDiv w:val="1"/>
      <w:marLeft w:val="0"/>
      <w:marRight w:val="0"/>
      <w:marTop w:val="0"/>
      <w:marBottom w:val="0"/>
      <w:divBdr>
        <w:top w:val="none" w:sz="0" w:space="0" w:color="auto"/>
        <w:left w:val="none" w:sz="0" w:space="0" w:color="auto"/>
        <w:bottom w:val="none" w:sz="0" w:space="0" w:color="auto"/>
        <w:right w:val="none" w:sz="0" w:space="0" w:color="auto"/>
      </w:divBdr>
    </w:div>
    <w:div w:id="1005322270">
      <w:bodyDiv w:val="1"/>
      <w:marLeft w:val="0"/>
      <w:marRight w:val="0"/>
      <w:marTop w:val="0"/>
      <w:marBottom w:val="0"/>
      <w:divBdr>
        <w:top w:val="none" w:sz="0" w:space="0" w:color="auto"/>
        <w:left w:val="none" w:sz="0" w:space="0" w:color="auto"/>
        <w:bottom w:val="none" w:sz="0" w:space="0" w:color="auto"/>
        <w:right w:val="none" w:sz="0" w:space="0" w:color="auto"/>
      </w:divBdr>
    </w:div>
    <w:div w:id="1131165871">
      <w:bodyDiv w:val="1"/>
      <w:marLeft w:val="0"/>
      <w:marRight w:val="0"/>
      <w:marTop w:val="0"/>
      <w:marBottom w:val="0"/>
      <w:divBdr>
        <w:top w:val="none" w:sz="0" w:space="0" w:color="auto"/>
        <w:left w:val="none" w:sz="0" w:space="0" w:color="auto"/>
        <w:bottom w:val="none" w:sz="0" w:space="0" w:color="auto"/>
        <w:right w:val="none" w:sz="0" w:space="0" w:color="auto"/>
      </w:divBdr>
    </w:div>
    <w:div w:id="1141117376">
      <w:bodyDiv w:val="1"/>
      <w:marLeft w:val="0"/>
      <w:marRight w:val="0"/>
      <w:marTop w:val="0"/>
      <w:marBottom w:val="0"/>
      <w:divBdr>
        <w:top w:val="none" w:sz="0" w:space="0" w:color="auto"/>
        <w:left w:val="none" w:sz="0" w:space="0" w:color="auto"/>
        <w:bottom w:val="none" w:sz="0" w:space="0" w:color="auto"/>
        <w:right w:val="none" w:sz="0" w:space="0" w:color="auto"/>
      </w:divBdr>
    </w:div>
    <w:div w:id="1623995015">
      <w:bodyDiv w:val="1"/>
      <w:marLeft w:val="0"/>
      <w:marRight w:val="0"/>
      <w:marTop w:val="0"/>
      <w:marBottom w:val="0"/>
      <w:divBdr>
        <w:top w:val="none" w:sz="0" w:space="0" w:color="auto"/>
        <w:left w:val="none" w:sz="0" w:space="0" w:color="auto"/>
        <w:bottom w:val="none" w:sz="0" w:space="0" w:color="auto"/>
        <w:right w:val="none" w:sz="0" w:space="0" w:color="auto"/>
      </w:divBdr>
    </w:div>
    <w:div w:id="1679692701">
      <w:bodyDiv w:val="1"/>
      <w:marLeft w:val="0"/>
      <w:marRight w:val="0"/>
      <w:marTop w:val="0"/>
      <w:marBottom w:val="0"/>
      <w:divBdr>
        <w:top w:val="none" w:sz="0" w:space="0" w:color="auto"/>
        <w:left w:val="none" w:sz="0" w:space="0" w:color="auto"/>
        <w:bottom w:val="none" w:sz="0" w:space="0" w:color="auto"/>
        <w:right w:val="none" w:sz="0" w:space="0" w:color="auto"/>
      </w:divBdr>
    </w:div>
    <w:div w:id="2069960730">
      <w:bodyDiv w:val="1"/>
      <w:marLeft w:val="0"/>
      <w:marRight w:val="0"/>
      <w:marTop w:val="0"/>
      <w:marBottom w:val="0"/>
      <w:divBdr>
        <w:top w:val="none" w:sz="0" w:space="0" w:color="auto"/>
        <w:left w:val="none" w:sz="0" w:space="0" w:color="auto"/>
        <w:bottom w:val="none" w:sz="0" w:space="0" w:color="auto"/>
        <w:right w:val="none" w:sz="0" w:space="0" w:color="auto"/>
      </w:divBdr>
    </w:div>
    <w:div w:id="20770476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oter" Target="foot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C1C3967FD4F3944D819C8197B0DC5F22" ma:contentTypeVersion="54" ma:contentTypeDescription="Create a new document." ma:contentTypeScope="" ma:versionID="e50413528e82c588450226964107cfc0">
  <xsd:schema xmlns:xsd="http://www.w3.org/2001/XMLSchema" xmlns:xs="http://www.w3.org/2001/XMLSchema" xmlns:p="http://schemas.microsoft.com/office/2006/metadata/properties" xmlns:ns2="6c6497fd-db5f-4dbd-a966-3f3fb54d46eb" xmlns:ns3="bd3e8ddb-6a7f-4093-b1eb-4c4efa7e3afd" targetNamespace="http://schemas.microsoft.com/office/2006/metadata/properties" ma:root="true" ma:fieldsID="198e70feaba117552a0401fde6a1f34c" ns2:_="" ns3:_="">
    <xsd:import namespace="6c6497fd-db5f-4dbd-a966-3f3fb54d46eb"/>
    <xsd:import namespace="bd3e8ddb-6a7f-4093-b1eb-4c4efa7e3afd"/>
    <xsd:element name="properties">
      <xsd:complexType>
        <xsd:sequence>
          <xsd:element name="documentManagement">
            <xsd:complexType>
              <xsd:all>
                <xsd:element ref="ns2:Type_x0020_of_x0020_document"/>
                <xsd:element ref="ns2:Language" minOccurs="0"/>
                <xsd:element ref="ns2:Order0" minOccurs="0"/>
                <xsd:element ref="ns3:Symbo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c6497fd-db5f-4dbd-a966-3f3fb54d46eb" elementFormDefault="qualified">
    <xsd:import namespace="http://schemas.microsoft.com/office/2006/documentManagement/types"/>
    <xsd:import namespace="http://schemas.microsoft.com/office/infopath/2007/PartnerControls"/>
    <xsd:element name="Type_x0020_of_x0020_document" ma:index="8" ma:displayName="Type of document" ma:default="5 - As received" ma:format="Dropdown" ma:internalName="Type_x0020_of_x0020_document">
      <xsd:simpleType>
        <xsd:restriction base="dms:Choice">
          <xsd:enumeration value="1 - Result of vote"/>
          <xsd:enumeration value="2 - PBI"/>
          <xsd:enumeration value="3 - Oral revision"/>
          <xsd:enumeration value="4 - As issued"/>
          <xsd:enumeration value="5 - As received"/>
        </xsd:restriction>
      </xsd:simpleType>
    </xsd:element>
    <xsd:element name="Language" ma:index="9" nillable="true" ma:displayName="Language" ma:default="English" ma:format="Dropdown" ma:internalName="Language">
      <xsd:simpleType>
        <xsd:restriction base="dms:Choice">
          <xsd:enumeration value="English"/>
          <xsd:enumeration value="French"/>
          <xsd:enumeration value="Spanish"/>
          <xsd:enumeration value="Arabic"/>
          <xsd:enumeration value="Chinese"/>
          <xsd:enumeration value="Russian"/>
        </xsd:restriction>
      </xsd:simpleType>
    </xsd:element>
    <xsd:element name="Order0" ma:index="10" nillable="true" ma:displayName="Order" ma:internalName="Order0">
      <xsd:simpleType>
        <xsd:restriction base="dms:Number"/>
      </xsd:simpleType>
    </xsd:element>
  </xsd:schema>
  <xsd:schema xmlns:xsd="http://www.w3.org/2001/XMLSchema" xmlns:xs="http://www.w3.org/2001/XMLSchema" xmlns:dms="http://schemas.microsoft.com/office/2006/documentManagement/types" xmlns:pc="http://schemas.microsoft.com/office/infopath/2007/PartnerControls" targetNamespace="bd3e8ddb-6a7f-4093-b1eb-4c4efa7e3afd" elementFormDefault="qualified">
    <xsd:import namespace="http://schemas.microsoft.com/office/2006/documentManagement/types"/>
    <xsd:import namespace="http://schemas.microsoft.com/office/infopath/2007/PartnerControls"/>
    <xsd:element name="Symbol" ma:index="11" nillable="true" ma:displayName="Symbol" ma:list="6e4cd507-21c2-4203-bd83-f2bb30c43f19" ma:internalName="Symbol" ma:showField="Title">
      <xsd:simpleType>
        <xsd:restriction base="dms:Lookup"/>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Symbol xmlns="bd3e8ddb-6a7f-4093-b1eb-4c4efa7e3afd">11</Symbol>
    <Language xmlns="6c6497fd-db5f-4dbd-a966-3f3fb54d46eb">English</Language>
    <Type_x0020_of_x0020_document xmlns="6c6497fd-db5f-4dbd-a966-3f3fb54d46eb">5 - As received</Type_x0020_of_x0020_document>
    <Order0 xmlns="6c6497fd-db5f-4dbd-a966-3f3fb54d46eb" xsi:nil="true"/>
  </documentManagement>
</p:properties>
</file>

<file path=customXml/itemProps1.xml><?xml version="1.0" encoding="utf-8"?>
<ds:datastoreItem xmlns:ds="http://schemas.openxmlformats.org/officeDocument/2006/customXml" ds:itemID="{6C10A55C-88B8-4E63-945E-79E99BD705C4}">
  <ds:schemaRefs>
    <ds:schemaRef ds:uri="http://schemas.openxmlformats.org/officeDocument/2006/bibliography"/>
  </ds:schemaRefs>
</ds:datastoreItem>
</file>

<file path=customXml/itemProps2.xml><?xml version="1.0" encoding="utf-8"?>
<ds:datastoreItem xmlns:ds="http://schemas.openxmlformats.org/officeDocument/2006/customXml" ds:itemID="{F58FD342-85A1-4C68-A43D-DE3504DA9E54}"/>
</file>

<file path=customXml/itemProps3.xml><?xml version="1.0" encoding="utf-8"?>
<ds:datastoreItem xmlns:ds="http://schemas.openxmlformats.org/officeDocument/2006/customXml" ds:itemID="{5184C545-2E53-4832-9F35-149B20887F6E}">
  <ds:schemaRefs>
    <ds:schemaRef ds:uri="http://schemas.microsoft.com/sharepoint/v3/contenttype/forms"/>
  </ds:schemaRefs>
</ds:datastoreItem>
</file>

<file path=customXml/itemProps4.xml><?xml version="1.0" encoding="utf-8"?>
<ds:datastoreItem xmlns:ds="http://schemas.openxmlformats.org/officeDocument/2006/customXml" ds:itemID="{81EDEBAD-53B4-40CB-A2E8-FF332C77581A}">
  <ds:schemaRefs>
    <ds:schemaRef ds:uri="http://schemas.microsoft.com/office/2006/metadata/properties"/>
    <ds:schemaRef ds:uri="http://schemas.microsoft.com/office/infopath/2007/PartnerControls"/>
    <ds:schemaRef ds:uri="bb0ca9ba-941c-40df-b04b-bfabd62ea666"/>
    <ds:schemaRef ds:uri="84722e3b-25e0-496d-a9f5-d37e31027713"/>
  </ds:schemaRefs>
</ds:datastoreItem>
</file>

<file path=docMetadata/LabelInfo.xml><?xml version="1.0" encoding="utf-8"?>
<clbl:labelList xmlns:clbl="http://schemas.microsoft.com/office/2020/mipLabelMetadata">
  <clbl:label id="{7eb58d0f-f804-411f-a20e-09ebfae62b4c}" enabled="1" method="Privileged" siteId="{0f9e35db-544f-4f60-bdcc-5ea416e6dc70}" removed="0"/>
</clbl:labelList>
</file>

<file path=docProps/app.xml><?xml version="1.0" encoding="utf-8"?>
<Properties xmlns="http://schemas.openxmlformats.org/officeDocument/2006/extended-properties" xmlns:vt="http://schemas.openxmlformats.org/officeDocument/2006/docPropsVTypes">
  <Template>Normal</Template>
  <TotalTime>8</TotalTime>
  <Pages>3</Pages>
  <Words>1342</Words>
  <Characters>7669</Characters>
  <Application>Microsoft Office Word</Application>
  <DocSecurity>0</DocSecurity>
  <Lines>127</Lines>
  <Paragraphs>53</Paragraphs>
  <ScaleCrop>false</ScaleCrop>
  <HeadingPairs>
    <vt:vector size="4" baseType="variant">
      <vt:variant>
        <vt:lpstr>Title</vt:lpstr>
      </vt:variant>
      <vt:variant>
        <vt:i4>1</vt:i4>
      </vt:variant>
      <vt:variant>
        <vt:lpstr>Rubrik</vt:lpstr>
      </vt:variant>
      <vt:variant>
        <vt:i4>1</vt:i4>
      </vt:variant>
    </vt:vector>
  </HeadingPairs>
  <TitlesOfParts>
    <vt:vector size="2" baseType="lpstr">
      <vt:lpstr/>
      <vt:lpstr/>
    </vt:vector>
  </TitlesOfParts>
  <Company/>
  <LinksUpToDate>false</LinksUpToDate>
  <CharactersWithSpaces>8958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Oscar Ekéus</dc:creator>
  <cp:keywords/>
  <dc:description/>
  <cp:lastModifiedBy>Matias Pellado</cp:lastModifiedBy>
  <cp:revision>6</cp:revision>
  <dcterms:created xsi:type="dcterms:W3CDTF">2026-06-24T14:08:00Z</dcterms:created>
  <dcterms:modified xsi:type="dcterms:W3CDTF">2026-06-24T14:12:00Z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0x010100C1C3967FD4F3944D819C8197B0DC5F22</vt:lpwstr>
  </property>
  <property fmtid="{D5CDD505-2E9C-101B-9397-08002B2CF9AE}" pid="3" name="MediaServiceImageTags">
    <vt:lpwstr/>
  </property>
</Properties>
</file>