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607F" w14:textId="30160728" w:rsidR="004C46F9" w:rsidRPr="00B26F1A" w:rsidRDefault="00B94654" w:rsidP="00306854">
      <w:pPr>
        <w:spacing w:after="80" w:line="240" w:lineRule="auto"/>
        <w:jc w:val="center"/>
        <w:rPr>
          <w:rFonts w:ascii="Times New Roman" w:hAnsi="Times New Roman" w:cs="Times New Roman"/>
          <w:b/>
          <w:i/>
          <w:iCs/>
          <w:color w:val="FF0000"/>
          <w:sz w:val="24"/>
          <w:szCs w:val="24"/>
        </w:rPr>
      </w:pPr>
      <w:r w:rsidRPr="00B551E7">
        <w:rPr>
          <w:rFonts w:ascii="Times New Roman" w:hAnsi="Times New Roman" w:cs="Times New Roman"/>
          <w:b/>
          <w:sz w:val="24"/>
          <w:szCs w:val="24"/>
        </w:rPr>
        <w:t xml:space="preserve">Report of </w:t>
      </w:r>
      <w:r w:rsidR="004C46F9">
        <w:rPr>
          <w:rFonts w:ascii="Times New Roman" w:hAnsi="Times New Roman" w:cs="Times New Roman"/>
          <w:b/>
          <w:sz w:val="24"/>
          <w:szCs w:val="24"/>
        </w:rPr>
        <w:t xml:space="preserve">the </w:t>
      </w:r>
      <w:r w:rsidR="00B26F1A" w:rsidRPr="00B26F1A">
        <w:rPr>
          <w:rFonts w:ascii="Times New Roman" w:hAnsi="Times New Roman" w:cs="Times New Roman"/>
          <w:b/>
          <w:sz w:val="24"/>
          <w:szCs w:val="24"/>
        </w:rPr>
        <w:t>Working Group on discrimination against women and girls</w:t>
      </w:r>
      <w:r w:rsidR="001332E5" w:rsidRPr="00B551E7">
        <w:rPr>
          <w:rFonts w:ascii="Times New Roman" w:hAnsi="Times New Roman" w:cs="Times New Roman"/>
          <w:b/>
          <w:sz w:val="24"/>
          <w:szCs w:val="24"/>
        </w:rPr>
        <w:br/>
      </w:r>
      <w:r w:rsidR="004C46F9" w:rsidRPr="004C46F9">
        <w:rPr>
          <w:rFonts w:ascii="Times New Roman" w:hAnsi="Times New Roman" w:cs="Times New Roman"/>
          <w:b/>
          <w:bCs/>
          <w:sz w:val="24"/>
          <w:szCs w:val="24"/>
        </w:rPr>
        <w:t>[</w:t>
      </w:r>
      <w:r w:rsidR="00306854" w:rsidRPr="00306854">
        <w:rPr>
          <w:rFonts w:ascii="Times New Roman" w:hAnsi="Times New Roman" w:cs="Times New Roman"/>
          <w:b/>
          <w:bCs/>
          <w:sz w:val="24"/>
          <w:szCs w:val="24"/>
          <w:lang w:val="en-CH"/>
        </w:rPr>
        <w:t>A/HRC/62/48</w:t>
      </w:r>
      <w:r w:rsidR="004C46F9" w:rsidRPr="004C46F9">
        <w:rPr>
          <w:rFonts w:ascii="Times New Roman" w:hAnsi="Times New Roman" w:cs="Times New Roman"/>
          <w:b/>
          <w:bCs/>
          <w:sz w:val="24"/>
          <w:szCs w:val="24"/>
        </w:rPr>
        <w:t>]</w:t>
      </w:r>
    </w:p>
    <w:p w14:paraId="1724F7AF" w14:textId="7DB7137E" w:rsidR="00B94654" w:rsidRPr="000666CB" w:rsidRDefault="00476504" w:rsidP="00EF7908">
      <w:pPr>
        <w:spacing w:after="80" w:line="240" w:lineRule="auto"/>
        <w:jc w:val="center"/>
        <w:rPr>
          <w:rFonts w:ascii="Times New Roman" w:hAnsi="Times New Roman" w:cs="Times New Roman"/>
          <w:b/>
          <w:lang w:val="en-GB"/>
        </w:rPr>
      </w:pPr>
      <w:r>
        <w:rPr>
          <w:rFonts w:ascii="Times New Roman" w:hAnsi="Times New Roman" w:cs="Times New Roman"/>
          <w:sz w:val="24"/>
          <w:szCs w:val="24"/>
        </w:rPr>
        <w:t>6</w:t>
      </w:r>
      <w:r w:rsidR="00E94F7E">
        <w:rPr>
          <w:rFonts w:ascii="Times New Roman" w:hAnsi="Times New Roman" w:cs="Times New Roman"/>
          <w:sz w:val="24"/>
          <w:szCs w:val="24"/>
        </w:rPr>
        <w:t>2</w:t>
      </w:r>
      <w:r w:rsidR="00E94F7E">
        <w:rPr>
          <w:rFonts w:ascii="Times New Roman" w:hAnsi="Times New Roman" w:cs="Times New Roman"/>
          <w:sz w:val="24"/>
          <w:szCs w:val="24"/>
          <w:vertAlign w:val="superscript"/>
        </w:rPr>
        <w:t>nd</w:t>
      </w:r>
      <w:r w:rsidR="000666CB">
        <w:rPr>
          <w:rFonts w:ascii="Times New Roman" w:hAnsi="Times New Roman" w:cs="Times New Roman"/>
          <w:sz w:val="24"/>
          <w:szCs w:val="24"/>
        </w:rPr>
        <w:t xml:space="preserve"> </w:t>
      </w:r>
      <w:r w:rsidR="00783F72">
        <w:rPr>
          <w:rFonts w:ascii="Times New Roman" w:hAnsi="Times New Roman" w:cs="Times New Roman"/>
          <w:sz w:val="24"/>
          <w:szCs w:val="24"/>
        </w:rPr>
        <w:t>s</w:t>
      </w:r>
      <w:r w:rsidR="000666CB">
        <w:rPr>
          <w:rFonts w:ascii="Times New Roman" w:hAnsi="Times New Roman" w:cs="Times New Roman"/>
          <w:sz w:val="24"/>
          <w:szCs w:val="24"/>
        </w:rPr>
        <w:t xml:space="preserve">ession of the </w:t>
      </w:r>
      <w:r w:rsidR="0089264A">
        <w:rPr>
          <w:rFonts w:ascii="Times New Roman" w:hAnsi="Times New Roman" w:cs="Times New Roman"/>
          <w:sz w:val="24"/>
          <w:szCs w:val="24"/>
        </w:rPr>
        <w:t>Human Rights Council</w:t>
      </w:r>
      <w:r w:rsidR="002D6FB9" w:rsidRPr="00B551E7">
        <w:rPr>
          <w:rFonts w:ascii="Times New Roman" w:hAnsi="Times New Roman" w:cs="Times New Roman"/>
          <w:sz w:val="24"/>
          <w:szCs w:val="24"/>
        </w:rPr>
        <w:t xml:space="preserve"> </w:t>
      </w:r>
      <w:r w:rsidR="00471D80" w:rsidRPr="00B551E7">
        <w:rPr>
          <w:rFonts w:ascii="Times New Roman" w:hAnsi="Times New Roman" w:cs="Times New Roman"/>
          <w:sz w:val="24"/>
          <w:szCs w:val="24"/>
        </w:rPr>
        <w:br/>
      </w:r>
    </w:p>
    <w:p w14:paraId="20593B7B" w14:textId="77777777" w:rsidR="000D5D76" w:rsidRPr="00B551E7" w:rsidRDefault="000D5D76" w:rsidP="00A0134F">
      <w:pPr>
        <w:spacing w:after="80" w:line="240" w:lineRule="auto"/>
        <w:rPr>
          <w:rFonts w:ascii="Times New Roman" w:hAnsi="Times New Roman" w:cs="Times New Roman"/>
          <w:b/>
          <w:bCs/>
          <w:color w:val="000000"/>
        </w:rPr>
      </w:pPr>
    </w:p>
    <w:p w14:paraId="423D9149" w14:textId="6A9C7E94" w:rsidR="00B94654" w:rsidRPr="00B26F1A" w:rsidRDefault="00B94654" w:rsidP="00A0134F">
      <w:pPr>
        <w:spacing w:after="80" w:line="240" w:lineRule="auto"/>
        <w:rPr>
          <w:rFonts w:ascii="Times New Roman" w:hAnsi="Times New Roman" w:cs="Times New Roman"/>
          <w:b/>
          <w:bCs/>
        </w:rPr>
      </w:pPr>
      <w:r w:rsidRPr="00B551E7">
        <w:rPr>
          <w:rFonts w:ascii="Times New Roman" w:hAnsi="Times New Roman" w:cs="Times New Roman"/>
          <w:b/>
          <w:bCs/>
          <w:color w:val="000000"/>
        </w:rPr>
        <w:t xml:space="preserve">Theme of the report: </w:t>
      </w:r>
      <w:r w:rsidR="00B26F1A" w:rsidRPr="00B26F1A">
        <w:rPr>
          <w:rFonts w:ascii="Times New Roman" w:hAnsi="Times New Roman" w:cs="Times New Roman"/>
          <w:b/>
          <w:bCs/>
          <w:i/>
          <w:iCs/>
        </w:rPr>
        <w:t>Women’s and girls’ rights and artificial intelligence and related digital technologies</w:t>
      </w:r>
    </w:p>
    <w:p w14:paraId="2DCD923B" w14:textId="2D18FD48" w:rsidR="004C46F9" w:rsidRDefault="004C46F9" w:rsidP="00A0134F">
      <w:pPr>
        <w:spacing w:after="80" w:line="240" w:lineRule="auto"/>
        <w:jc w:val="both"/>
        <w:rPr>
          <w:rFonts w:ascii="Times New Roman" w:hAnsi="Times New Roman" w:cs="Times New Roman"/>
          <w:color w:val="000000"/>
          <w:sz w:val="21"/>
          <w:szCs w:val="21"/>
          <w:lang w:val="en-GB"/>
        </w:rPr>
      </w:pPr>
    </w:p>
    <w:p w14:paraId="4278B469" w14:textId="4AD7FBAD" w:rsidR="00B26F1A" w:rsidRPr="00B26F1A" w:rsidRDefault="004C46F9" w:rsidP="00B26F1A">
      <w:pPr>
        <w:spacing w:after="80" w:line="240" w:lineRule="auto"/>
        <w:rPr>
          <w:rFonts w:ascii="Times New Roman" w:hAnsi="Times New Roman" w:cs="Times New Roman"/>
          <w:color w:val="000000"/>
          <w:lang w:val="en-GB"/>
        </w:rPr>
      </w:pPr>
      <w:r w:rsidRPr="004C46F9">
        <w:rPr>
          <w:rFonts w:ascii="Times New Roman" w:hAnsi="Times New Roman" w:cs="Times New Roman"/>
          <w:b/>
          <w:bCs/>
          <w:color w:val="000000"/>
          <w:lang w:val="en-GB"/>
        </w:rPr>
        <w:t>Summary:</w:t>
      </w:r>
      <w:r w:rsidRPr="004C46F9">
        <w:rPr>
          <w:rFonts w:ascii="Times New Roman" w:hAnsi="Times New Roman" w:cs="Times New Roman"/>
          <w:color w:val="000000"/>
          <w:lang w:val="en-GB"/>
        </w:rPr>
        <w:t xml:space="preserve"> </w:t>
      </w:r>
      <w:r w:rsidR="00B26F1A" w:rsidRPr="00B26F1A">
        <w:rPr>
          <w:rFonts w:ascii="Times New Roman" w:hAnsi="Times New Roman" w:cs="Times New Roman"/>
          <w:color w:val="000000"/>
          <w:lang w:val="en-GB"/>
        </w:rPr>
        <w:t xml:space="preserve">In the present report, the Working Group examines how the growth of artificial intelligence (AI) and related digital technologies has profoundly transformed the landscape in which women and girls exercise their human rights. The report recognizes the genuine potential of AI to promote gender equality and address historical inequalities, while underscoring that the design and deployment of AI systems must be grounded in feminist and human rights-based approaches. It documents the limited attention existing regulatory efforts have devoted to the impact of AI on women and girls and calls on States to reassert leadership on AI governance in light of profound and gendered power asymmetries. The report identifies the preconditions necessary to advance substantive gender equality in the digital age and builds on the growing global call to establish AI “redlines,” urging the immediate integration of feminist and gender equality perspectives into those debates. Recommendations address immediate, medium, and long-term measures for Member States, the United Nations, and the private sector to transform the structural barriers to women’s and girls’ rights in this area. </w:t>
      </w:r>
    </w:p>
    <w:p w14:paraId="32B97791" w14:textId="2BADEFDF" w:rsidR="004C46F9" w:rsidRPr="00B26F1A" w:rsidRDefault="00B26F1A" w:rsidP="00B26F1A">
      <w:pPr>
        <w:spacing w:after="80" w:line="240" w:lineRule="auto"/>
        <w:jc w:val="both"/>
        <w:rPr>
          <w:rFonts w:ascii="Times New Roman" w:hAnsi="Times New Roman" w:cs="Times New Roman"/>
          <w:color w:val="000000"/>
        </w:rPr>
      </w:pPr>
      <w:r w:rsidRPr="00B26F1A">
        <w:rPr>
          <w:rFonts w:ascii="Times New Roman" w:hAnsi="Times New Roman" w:cs="Times New Roman"/>
          <w:color w:val="000000"/>
          <w:lang w:val="en-GB"/>
        </w:rPr>
        <w:t>The Working Group calls for the prioritization of a substantive gender equality approach to the digital space—strengthening multilateral cooperation to ensure gender equality while urgently addressing harms from rapidly developing technologies, including AI. These technologies are being developed and deployed in a context shaped by entrenched gender inequality and intersecting forms of discrimination - their governance must therefore confront and address that context.</w:t>
      </w:r>
    </w:p>
    <w:p w14:paraId="5B97610D" w14:textId="77777777" w:rsidR="004C46F9" w:rsidRDefault="004C46F9" w:rsidP="00A0134F">
      <w:pPr>
        <w:spacing w:after="80" w:line="240" w:lineRule="auto"/>
        <w:rPr>
          <w:rFonts w:ascii="Times New Roman" w:hAnsi="Times New Roman" w:cs="Times New Roman"/>
          <w:b/>
          <w:color w:val="000000"/>
        </w:rPr>
      </w:pPr>
    </w:p>
    <w:p w14:paraId="7EFE5E74" w14:textId="41AE6CF9" w:rsidR="006958C4" w:rsidRPr="00B551E7" w:rsidRDefault="00804C2E" w:rsidP="00A0134F">
      <w:pPr>
        <w:spacing w:after="80" w:line="240" w:lineRule="auto"/>
        <w:rPr>
          <w:rFonts w:ascii="Times New Roman" w:hAnsi="Times New Roman" w:cs="Times New Roman"/>
          <w:color w:val="000000"/>
        </w:rPr>
      </w:pPr>
      <w:r w:rsidRPr="00B551E7">
        <w:rPr>
          <w:rFonts w:ascii="Times New Roman" w:hAnsi="Times New Roman" w:cs="Times New Roman"/>
          <w:b/>
          <w:color w:val="000000"/>
        </w:rPr>
        <w:t xml:space="preserve">Suggested points of engagement for States during the </w:t>
      </w:r>
      <w:r w:rsidR="004C46F9">
        <w:rPr>
          <w:rFonts w:ascii="Times New Roman" w:hAnsi="Times New Roman" w:cs="Times New Roman"/>
          <w:b/>
          <w:color w:val="000000"/>
        </w:rPr>
        <w:t>i</w:t>
      </w:r>
      <w:r w:rsidRPr="00B551E7">
        <w:rPr>
          <w:rFonts w:ascii="Times New Roman" w:hAnsi="Times New Roman" w:cs="Times New Roman"/>
          <w:b/>
          <w:color w:val="000000"/>
        </w:rPr>
        <w:t xml:space="preserve">nteractive </w:t>
      </w:r>
      <w:r w:rsidR="004C46F9">
        <w:rPr>
          <w:rFonts w:ascii="Times New Roman" w:hAnsi="Times New Roman" w:cs="Times New Roman"/>
          <w:b/>
          <w:color w:val="000000"/>
        </w:rPr>
        <w:t>d</w:t>
      </w:r>
      <w:r w:rsidRPr="00B551E7">
        <w:rPr>
          <w:rFonts w:ascii="Times New Roman" w:hAnsi="Times New Roman" w:cs="Times New Roman"/>
          <w:b/>
          <w:color w:val="000000"/>
        </w:rPr>
        <w:t>ialogue</w:t>
      </w:r>
      <w:r w:rsidR="006958C4" w:rsidRPr="00B551E7">
        <w:rPr>
          <w:rFonts w:ascii="Times New Roman" w:hAnsi="Times New Roman" w:cs="Times New Roman"/>
          <w:color w:val="000000"/>
        </w:rPr>
        <w:t>:</w:t>
      </w:r>
    </w:p>
    <w:p w14:paraId="054F662E" w14:textId="77777777" w:rsidR="004C46F9" w:rsidRPr="00DE1D7D" w:rsidRDefault="004C46F9" w:rsidP="004C46F9">
      <w:pPr>
        <w:pStyle w:val="ListParagraph"/>
        <w:spacing w:after="80" w:line="240" w:lineRule="auto"/>
        <w:ind w:left="709"/>
        <w:jc w:val="both"/>
        <w:rPr>
          <w:rFonts w:ascii="Times New Roman" w:hAnsi="Times New Roman" w:cs="Times New Roman"/>
        </w:rPr>
      </w:pPr>
    </w:p>
    <w:p w14:paraId="6558DA6D" w14:textId="5F6BF127" w:rsidR="00DE1D7D" w:rsidRPr="00DE1D7D" w:rsidRDefault="00DE1D7D" w:rsidP="00001A6F">
      <w:pPr>
        <w:pStyle w:val="ListParagraph"/>
        <w:numPr>
          <w:ilvl w:val="0"/>
          <w:numId w:val="4"/>
        </w:numPr>
        <w:spacing w:after="80" w:line="252" w:lineRule="auto"/>
        <w:jc w:val="both"/>
        <w:rPr>
          <w:rFonts w:ascii="Times New Roman" w:eastAsia="Times New Roman" w:hAnsi="Times New Roman" w:cs="Times New Roman"/>
          <w:i/>
          <w:iCs/>
        </w:rPr>
      </w:pPr>
      <w:r w:rsidRPr="00DE1D7D">
        <w:rPr>
          <w:rFonts w:ascii="Times New Roman" w:eastAsia="Times New Roman" w:hAnsi="Times New Roman" w:cs="Times New Roman"/>
          <w:i/>
          <w:iCs/>
        </w:rPr>
        <w:t xml:space="preserve">How does the Working Group propose ensuring that AI governance frameworks fully integrate gender-responsive and human rights–based approaches, particularly in contexts where current regulation remains limited or voluntary? </w:t>
      </w:r>
    </w:p>
    <w:p w14:paraId="1CC07E49" w14:textId="3E68ADCD" w:rsidR="00DE1D7D" w:rsidRPr="00DE1D7D" w:rsidRDefault="00DE1D7D" w:rsidP="007E45DC">
      <w:pPr>
        <w:pStyle w:val="ListParagraph"/>
        <w:numPr>
          <w:ilvl w:val="0"/>
          <w:numId w:val="4"/>
        </w:numPr>
        <w:spacing w:after="80" w:line="252" w:lineRule="auto"/>
        <w:jc w:val="both"/>
        <w:rPr>
          <w:rFonts w:ascii="Times New Roman" w:eastAsia="Times New Roman" w:hAnsi="Times New Roman" w:cs="Times New Roman"/>
          <w:i/>
          <w:iCs/>
        </w:rPr>
      </w:pPr>
      <w:r w:rsidRPr="00DE1D7D">
        <w:rPr>
          <w:rFonts w:ascii="Times New Roman" w:eastAsia="Times New Roman" w:hAnsi="Times New Roman" w:cs="Times New Roman"/>
          <w:i/>
          <w:iCs/>
        </w:rPr>
        <w:t xml:space="preserve">What concrete steps should States take to strengthen accountability of private sector actors, given the report’s finding that corporate AI practices remain opaque and insufficiently regulated? </w:t>
      </w:r>
    </w:p>
    <w:p w14:paraId="1E5CCAFE" w14:textId="0E2085C6" w:rsidR="00DE1D7D" w:rsidRPr="00DE1D7D" w:rsidRDefault="00DE1D7D" w:rsidP="00C319E3">
      <w:pPr>
        <w:pStyle w:val="ListParagraph"/>
        <w:numPr>
          <w:ilvl w:val="0"/>
          <w:numId w:val="4"/>
        </w:numPr>
        <w:spacing w:after="80" w:line="252" w:lineRule="auto"/>
        <w:jc w:val="both"/>
        <w:rPr>
          <w:rFonts w:ascii="Times New Roman" w:eastAsia="Times New Roman" w:hAnsi="Times New Roman" w:cs="Times New Roman"/>
          <w:i/>
          <w:iCs/>
        </w:rPr>
      </w:pPr>
      <w:r w:rsidRPr="00DE1D7D">
        <w:rPr>
          <w:rFonts w:ascii="Times New Roman" w:eastAsia="Times New Roman" w:hAnsi="Times New Roman" w:cs="Times New Roman"/>
          <w:i/>
          <w:iCs/>
        </w:rPr>
        <w:t xml:space="preserve">How can States effectively address the structural gender biases embedded in AI systems, especially where these reflect broader societal inequalities and male-dominated technology sectors? </w:t>
      </w:r>
    </w:p>
    <w:p w14:paraId="22C16D24" w14:textId="50770B1A" w:rsidR="00DE1D7D" w:rsidRPr="00DE1D7D" w:rsidRDefault="00DE1D7D" w:rsidP="00E70E5E">
      <w:pPr>
        <w:pStyle w:val="ListParagraph"/>
        <w:numPr>
          <w:ilvl w:val="0"/>
          <w:numId w:val="4"/>
        </w:numPr>
        <w:spacing w:after="80" w:line="252" w:lineRule="auto"/>
        <w:jc w:val="both"/>
        <w:rPr>
          <w:rFonts w:ascii="Times New Roman" w:eastAsia="Times New Roman" w:hAnsi="Times New Roman" w:cs="Times New Roman"/>
          <w:i/>
          <w:iCs/>
        </w:rPr>
      </w:pPr>
      <w:r w:rsidRPr="00DE1D7D">
        <w:rPr>
          <w:rFonts w:ascii="Times New Roman" w:eastAsia="Times New Roman" w:hAnsi="Times New Roman" w:cs="Times New Roman"/>
          <w:i/>
          <w:iCs/>
        </w:rPr>
        <w:t xml:space="preserve">What mechanisms are recommended to ensure the meaningful participation and leadership of women and girls in AI development and governance processes? </w:t>
      </w:r>
    </w:p>
    <w:p w14:paraId="458327E0" w14:textId="59A8FB85" w:rsidR="00DE1D7D" w:rsidRPr="00DE1D7D" w:rsidRDefault="00DE1D7D" w:rsidP="00A7406B">
      <w:pPr>
        <w:pStyle w:val="ListParagraph"/>
        <w:numPr>
          <w:ilvl w:val="0"/>
          <w:numId w:val="4"/>
        </w:numPr>
        <w:spacing w:after="80" w:line="252" w:lineRule="auto"/>
        <w:jc w:val="both"/>
        <w:rPr>
          <w:rFonts w:ascii="Times New Roman" w:eastAsia="Times New Roman" w:hAnsi="Times New Roman" w:cs="Times New Roman"/>
          <w:i/>
          <w:iCs/>
        </w:rPr>
      </w:pPr>
      <w:r w:rsidRPr="00DE1D7D">
        <w:rPr>
          <w:rFonts w:ascii="Times New Roman" w:eastAsia="Times New Roman" w:hAnsi="Times New Roman" w:cs="Times New Roman"/>
          <w:i/>
          <w:iCs/>
        </w:rPr>
        <w:t xml:space="preserve">In light of persistent digital divides, what are the priority measures States should adopt to guarantee equitable access to AI and digital technologies for women and girls, particularly in marginalized communities? </w:t>
      </w:r>
    </w:p>
    <w:p w14:paraId="4317F9AE" w14:textId="43B83074" w:rsidR="00DE1D7D" w:rsidRPr="00DE1D7D" w:rsidRDefault="00DE1D7D" w:rsidP="00CD25C6">
      <w:pPr>
        <w:pStyle w:val="ListParagraph"/>
        <w:numPr>
          <w:ilvl w:val="0"/>
          <w:numId w:val="4"/>
        </w:numPr>
        <w:spacing w:after="80" w:line="252" w:lineRule="auto"/>
        <w:jc w:val="both"/>
        <w:rPr>
          <w:rFonts w:ascii="Times New Roman" w:eastAsia="Times New Roman" w:hAnsi="Times New Roman" w:cs="Times New Roman"/>
          <w:i/>
          <w:iCs/>
        </w:rPr>
      </w:pPr>
      <w:r w:rsidRPr="00DE1D7D">
        <w:rPr>
          <w:rFonts w:ascii="Times New Roman" w:eastAsia="Times New Roman" w:hAnsi="Times New Roman" w:cs="Times New Roman"/>
          <w:i/>
          <w:iCs/>
        </w:rPr>
        <w:t xml:space="preserve">How can States mitigate the risks of labor exploitation and job displacement linked to AI, especially for women working in vulnerable or informal sectors, while harnessing AI’s economic opportunities? </w:t>
      </w:r>
    </w:p>
    <w:p w14:paraId="1B621BED" w14:textId="24A2313B" w:rsidR="00DE1D7D" w:rsidRPr="00DE1D7D" w:rsidRDefault="00DE1D7D" w:rsidP="00433C57">
      <w:pPr>
        <w:pStyle w:val="ListParagraph"/>
        <w:numPr>
          <w:ilvl w:val="0"/>
          <w:numId w:val="4"/>
        </w:numPr>
        <w:spacing w:after="80" w:line="252" w:lineRule="auto"/>
        <w:jc w:val="both"/>
        <w:rPr>
          <w:rFonts w:ascii="Times New Roman" w:eastAsia="Times New Roman" w:hAnsi="Times New Roman" w:cs="Times New Roman"/>
          <w:i/>
          <w:iCs/>
        </w:rPr>
      </w:pPr>
      <w:r w:rsidRPr="00DE1D7D">
        <w:rPr>
          <w:rFonts w:ascii="Times New Roman" w:eastAsia="Times New Roman" w:hAnsi="Times New Roman" w:cs="Times New Roman"/>
          <w:i/>
          <w:iCs/>
        </w:rPr>
        <w:t xml:space="preserve">Given the rapid rise of technology-facilitated gender-based violence, including AI-enabled harms such as deepfakes, what legal and institutional reforms are most urgently needed at the national level? </w:t>
      </w:r>
    </w:p>
    <w:p w14:paraId="4EC3AE8C" w14:textId="6616C53B" w:rsidR="00DE1D7D" w:rsidRPr="00DE1D7D" w:rsidRDefault="00DE1D7D" w:rsidP="000D1F36">
      <w:pPr>
        <w:pStyle w:val="ListParagraph"/>
        <w:numPr>
          <w:ilvl w:val="0"/>
          <w:numId w:val="4"/>
        </w:numPr>
        <w:spacing w:after="80" w:line="252" w:lineRule="auto"/>
        <w:jc w:val="both"/>
        <w:rPr>
          <w:rFonts w:ascii="Times New Roman" w:eastAsia="Times New Roman" w:hAnsi="Times New Roman" w:cs="Times New Roman"/>
          <w:i/>
          <w:iCs/>
        </w:rPr>
      </w:pPr>
      <w:r w:rsidRPr="00DE1D7D">
        <w:rPr>
          <w:rFonts w:ascii="Times New Roman" w:eastAsia="Times New Roman" w:hAnsi="Times New Roman" w:cs="Times New Roman"/>
          <w:i/>
          <w:iCs/>
        </w:rPr>
        <w:t xml:space="preserve">What safeguards should States prioritize to prevent the misuse of AI-driven surveillance technologies that disproportionately target women and girls, particularly those from marginalized groups? </w:t>
      </w:r>
    </w:p>
    <w:p w14:paraId="322F5D9A" w14:textId="2BEDA383" w:rsidR="00DE1D7D" w:rsidRPr="00DE1D7D" w:rsidRDefault="00DE1D7D" w:rsidP="003270A4">
      <w:pPr>
        <w:pStyle w:val="ListParagraph"/>
        <w:numPr>
          <w:ilvl w:val="0"/>
          <w:numId w:val="4"/>
        </w:numPr>
        <w:spacing w:after="80" w:line="252" w:lineRule="auto"/>
        <w:jc w:val="both"/>
        <w:rPr>
          <w:rFonts w:ascii="Times New Roman" w:eastAsia="Times New Roman" w:hAnsi="Times New Roman" w:cs="Times New Roman"/>
          <w:i/>
          <w:iCs/>
        </w:rPr>
      </w:pPr>
      <w:r w:rsidRPr="00DE1D7D">
        <w:rPr>
          <w:rFonts w:ascii="Times New Roman" w:eastAsia="Times New Roman" w:hAnsi="Times New Roman" w:cs="Times New Roman"/>
          <w:i/>
          <w:iCs/>
        </w:rPr>
        <w:t xml:space="preserve">How should gender equality considerations be systematically incorporated into global discussions on AI “redlines,” including in areas such as armed conflict, surveillance, and environmental impacts? </w:t>
      </w:r>
    </w:p>
    <w:p w14:paraId="6D45DD44" w14:textId="4A437285" w:rsidR="0089264A" w:rsidRPr="00DE1D7D" w:rsidRDefault="00DE1D7D" w:rsidP="00DE1D7D">
      <w:pPr>
        <w:pStyle w:val="ListParagraph"/>
        <w:numPr>
          <w:ilvl w:val="0"/>
          <w:numId w:val="4"/>
        </w:numPr>
        <w:spacing w:after="80" w:line="252" w:lineRule="auto"/>
        <w:jc w:val="both"/>
        <w:rPr>
          <w:rFonts w:ascii="Times New Roman" w:eastAsia="Times New Roman" w:hAnsi="Times New Roman" w:cs="Times New Roman"/>
        </w:rPr>
      </w:pPr>
      <w:r w:rsidRPr="00DE1D7D">
        <w:rPr>
          <w:rFonts w:ascii="Times New Roman" w:eastAsia="Times New Roman" w:hAnsi="Times New Roman" w:cs="Times New Roman"/>
          <w:i/>
          <w:iCs/>
        </w:rPr>
        <w:t>What role should multilateral cooperation play in closing regulatory gaps and ensuring the development of binding international standards on gender-responsive AI governance</w:t>
      </w:r>
      <w:r w:rsidRPr="00DE1D7D">
        <w:rPr>
          <w:rFonts w:ascii="Times New Roman" w:eastAsia="Times New Roman" w:hAnsi="Times New Roman" w:cs="Times New Roman"/>
          <w:i/>
          <w:iCs/>
        </w:rPr>
        <w:t>?</w:t>
      </w:r>
    </w:p>
    <w:sectPr w:rsidR="0089264A" w:rsidRPr="00DE1D7D" w:rsidSect="001332E5">
      <w:footerReference w:type="default" r:id="rId10"/>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39E1F" w14:textId="77777777" w:rsidR="00F461DD" w:rsidRDefault="00F461DD" w:rsidP="00DA7C55">
      <w:pPr>
        <w:spacing w:after="0" w:line="240" w:lineRule="auto"/>
      </w:pPr>
      <w:r>
        <w:separator/>
      </w:r>
    </w:p>
  </w:endnote>
  <w:endnote w:type="continuationSeparator" w:id="0">
    <w:p w14:paraId="1EB66FE1" w14:textId="77777777" w:rsidR="00F461DD" w:rsidRDefault="00F461DD" w:rsidP="00DA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ABAD" w14:textId="77777777" w:rsidR="00F461DD" w:rsidRDefault="00F461DD" w:rsidP="00DA7C55">
      <w:pPr>
        <w:spacing w:after="0" w:line="240" w:lineRule="auto"/>
      </w:pPr>
      <w:r>
        <w:separator/>
      </w:r>
    </w:p>
  </w:footnote>
  <w:footnote w:type="continuationSeparator" w:id="0">
    <w:p w14:paraId="1D559EBB" w14:textId="77777777" w:rsidR="00F461DD" w:rsidRDefault="00F461DD" w:rsidP="00DA7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1"/>
  </w:num>
  <w:num w:numId="2" w16cid:durableId="427624793">
    <w:abstractNumId w:val="2"/>
  </w:num>
  <w:num w:numId="3" w16cid:durableId="1195071799">
    <w:abstractNumId w:val="4"/>
  </w:num>
  <w:num w:numId="4" w16cid:durableId="1121875248">
    <w:abstractNumId w:val="0"/>
  </w:num>
  <w:num w:numId="5" w16cid:durableId="160931653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666CB"/>
    <w:rsid w:val="00090F92"/>
    <w:rsid w:val="000B065E"/>
    <w:rsid w:val="000D5D76"/>
    <w:rsid w:val="000E1B11"/>
    <w:rsid w:val="000F59FC"/>
    <w:rsid w:val="00120BA6"/>
    <w:rsid w:val="001332E5"/>
    <w:rsid w:val="001365EE"/>
    <w:rsid w:val="00137474"/>
    <w:rsid w:val="001621A2"/>
    <w:rsid w:val="00226071"/>
    <w:rsid w:val="0025498D"/>
    <w:rsid w:val="002802C5"/>
    <w:rsid w:val="0029734A"/>
    <w:rsid w:val="002D6FB9"/>
    <w:rsid w:val="002F406E"/>
    <w:rsid w:val="00306854"/>
    <w:rsid w:val="00330EB2"/>
    <w:rsid w:val="00355423"/>
    <w:rsid w:val="0036670A"/>
    <w:rsid w:val="003A6F99"/>
    <w:rsid w:val="003B42CE"/>
    <w:rsid w:val="003B470B"/>
    <w:rsid w:val="003E179A"/>
    <w:rsid w:val="003F20F8"/>
    <w:rsid w:val="00452CE8"/>
    <w:rsid w:val="00464D4B"/>
    <w:rsid w:val="00471D80"/>
    <w:rsid w:val="00476504"/>
    <w:rsid w:val="004931F6"/>
    <w:rsid w:val="004B44E2"/>
    <w:rsid w:val="004C46F9"/>
    <w:rsid w:val="004C5A81"/>
    <w:rsid w:val="0053005D"/>
    <w:rsid w:val="00542B65"/>
    <w:rsid w:val="00573067"/>
    <w:rsid w:val="0057669A"/>
    <w:rsid w:val="00580934"/>
    <w:rsid w:val="005A33E2"/>
    <w:rsid w:val="00613709"/>
    <w:rsid w:val="006309EF"/>
    <w:rsid w:val="0067214C"/>
    <w:rsid w:val="006958C4"/>
    <w:rsid w:val="006A3FD6"/>
    <w:rsid w:val="00712749"/>
    <w:rsid w:val="0072728D"/>
    <w:rsid w:val="00742D3E"/>
    <w:rsid w:val="00783F72"/>
    <w:rsid w:val="00804C2E"/>
    <w:rsid w:val="008344E8"/>
    <w:rsid w:val="00870D8C"/>
    <w:rsid w:val="0089264A"/>
    <w:rsid w:val="008B7142"/>
    <w:rsid w:val="00900162"/>
    <w:rsid w:val="009277D3"/>
    <w:rsid w:val="0095525A"/>
    <w:rsid w:val="009838AA"/>
    <w:rsid w:val="00A0134F"/>
    <w:rsid w:val="00A06072"/>
    <w:rsid w:val="00A54EBE"/>
    <w:rsid w:val="00A73EB4"/>
    <w:rsid w:val="00AA17A8"/>
    <w:rsid w:val="00AD6966"/>
    <w:rsid w:val="00AE684C"/>
    <w:rsid w:val="00B26F1A"/>
    <w:rsid w:val="00B45CC8"/>
    <w:rsid w:val="00B551E7"/>
    <w:rsid w:val="00B76262"/>
    <w:rsid w:val="00B94654"/>
    <w:rsid w:val="00B95D2A"/>
    <w:rsid w:val="00BA5B91"/>
    <w:rsid w:val="00BA72C9"/>
    <w:rsid w:val="00BB2AAE"/>
    <w:rsid w:val="00BB7EB0"/>
    <w:rsid w:val="00BD1272"/>
    <w:rsid w:val="00C035FF"/>
    <w:rsid w:val="00C81684"/>
    <w:rsid w:val="00C95166"/>
    <w:rsid w:val="00CD15CE"/>
    <w:rsid w:val="00D11F29"/>
    <w:rsid w:val="00D55799"/>
    <w:rsid w:val="00D71801"/>
    <w:rsid w:val="00DA7C55"/>
    <w:rsid w:val="00DE1D7D"/>
    <w:rsid w:val="00E00135"/>
    <w:rsid w:val="00E15D7C"/>
    <w:rsid w:val="00E3404E"/>
    <w:rsid w:val="00E94F7E"/>
    <w:rsid w:val="00EF42E0"/>
    <w:rsid w:val="00EF7908"/>
    <w:rsid w:val="00F14182"/>
    <w:rsid w:val="00F40537"/>
    <w:rsid w:val="00F461DD"/>
    <w:rsid w:val="00F65C3A"/>
    <w:rsid w:val="00F95039"/>
    <w:rsid w:val="00FB5AAF"/>
    <w:rsid w:val="00FC2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86206718BE0B479D048717DD0575B4" ma:contentTypeVersion="0" ma:contentTypeDescription="Create a new document." ma:contentTypeScope="" ma:versionID="273b8926006c37795b8cde41044014cd">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E52DC-6347-41FF-91EC-ACD636D4653A}">
  <ds:schemaRefs>
    <ds:schemaRef ds:uri="http://schemas.microsoft.com/sharepoint/v3/contenttype/forms"/>
  </ds:schemaRefs>
</ds:datastoreItem>
</file>

<file path=customXml/itemProps2.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049D13-F2C1-47E2-9D14-E8B4F9B7D146}"/>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Viera Pejchal</cp:lastModifiedBy>
  <cp:revision>5</cp:revision>
  <dcterms:created xsi:type="dcterms:W3CDTF">2026-05-28T08:37:00Z</dcterms:created>
  <dcterms:modified xsi:type="dcterms:W3CDTF">2026-05-28T09:51:00Z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0x0101006186206718BE0B479D048717DD0575B4</vt:lpwstr>
  </property>
</Properties>
</file>