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A82520" w:rsidRPr="00C575D4" w:rsidRDefault="00000000">
      <w:pPr>
        <w:spacing w:after="80" w:line="240" w:lineRule="auto"/>
        <w:jc w:val="center"/>
        <w:rPr>
          <w:rFonts w:ascii="Calibri" w:eastAsia="Calibri" w:hAnsi="Calibri" w:cs="Calibri"/>
          <w:b/>
          <w:bCs/>
          <w:lang w:val="en-GB"/>
        </w:rPr>
      </w:pPr>
      <w:r w:rsidRPr="00C575D4">
        <w:rPr>
          <w:rFonts w:ascii="Calibri" w:eastAsia="Calibri" w:hAnsi="Calibri" w:cs="Calibri"/>
          <w:b/>
          <w:bCs/>
          <w:lang w:val="en-GB"/>
        </w:rPr>
        <w:t>Report of the Special Rapporteur on the rights to freedom of peaceful assembly and of association A/HRC/62/45</w:t>
      </w:r>
    </w:p>
    <w:p w14:paraId="00000003" w14:textId="77777777" w:rsidR="00A82520" w:rsidRPr="00C575D4" w:rsidRDefault="00A82520">
      <w:pPr>
        <w:spacing w:after="80" w:line="240" w:lineRule="auto"/>
        <w:rPr>
          <w:rFonts w:ascii="Calibri" w:eastAsia="Calibri" w:hAnsi="Calibri" w:cs="Calibri"/>
          <w:b/>
          <w:bCs/>
          <w:lang w:val="en-GB"/>
        </w:rPr>
      </w:pPr>
    </w:p>
    <w:p w14:paraId="00000004" w14:textId="77777777" w:rsidR="00A82520" w:rsidRPr="00C575D4" w:rsidRDefault="00000000">
      <w:pPr>
        <w:pBdr>
          <w:top w:val="single" w:sz="4" w:space="1" w:color="000000"/>
          <w:left w:val="single" w:sz="4" w:space="4" w:color="000000"/>
          <w:bottom w:val="single" w:sz="4" w:space="1" w:color="000000"/>
          <w:right w:val="single" w:sz="4" w:space="4" w:color="000000"/>
        </w:pBdr>
        <w:spacing w:after="160" w:line="240" w:lineRule="auto"/>
        <w:jc w:val="center"/>
        <w:rPr>
          <w:rFonts w:ascii="Calibri" w:eastAsia="Calibri" w:hAnsi="Calibri" w:cs="Calibri"/>
          <w:b/>
          <w:bCs/>
          <w:lang w:val="en-GB"/>
        </w:rPr>
      </w:pPr>
      <w:r w:rsidRPr="00C575D4">
        <w:rPr>
          <w:rFonts w:ascii="Calibri" w:eastAsia="Calibri" w:hAnsi="Calibri" w:cs="Calibri"/>
          <w:b/>
          <w:bCs/>
          <w:lang w:val="en-GB"/>
        </w:rPr>
        <w:t>Theme of the report: Unmasking the chilling effects of the digital surveillance ecosystem: the erosion of assembly and association rights</w:t>
      </w:r>
    </w:p>
    <w:p w14:paraId="00000005" w14:textId="2B267695" w:rsidR="00A82520" w:rsidRPr="00C575D4" w:rsidRDefault="00000000">
      <w:pPr>
        <w:spacing w:after="160" w:line="240" w:lineRule="auto"/>
        <w:jc w:val="both"/>
        <w:rPr>
          <w:lang w:val="en-GB"/>
        </w:rPr>
      </w:pPr>
      <w:r w:rsidRPr="00C575D4">
        <w:rPr>
          <w:rFonts w:ascii="Calibri" w:eastAsia="Calibri" w:hAnsi="Calibri" w:cs="Calibri"/>
          <w:b/>
          <w:bCs/>
          <w:lang w:val="en-GB"/>
        </w:rPr>
        <w:t>Summary:</w:t>
      </w:r>
      <w:r w:rsidRPr="00C575D4">
        <w:rPr>
          <w:rFonts w:ascii="Calibri" w:eastAsia="Calibri" w:hAnsi="Calibri" w:cs="Calibri"/>
          <w:lang w:val="en-GB"/>
        </w:rPr>
        <w:t xml:space="preserve"> </w:t>
      </w:r>
      <w:r w:rsidRPr="00C575D4">
        <w:rPr>
          <w:rFonts w:ascii="Calibri" w:eastAsia="Calibri" w:hAnsi="Calibri" w:cs="Calibri"/>
          <w:highlight w:val="white"/>
          <w:lang w:val="en-GB"/>
        </w:rPr>
        <w:t xml:space="preserve">Traditional approaches regarding surveillance have predominantly addressed </w:t>
      </w:r>
      <w:r w:rsidR="00C24FF1">
        <w:rPr>
          <w:rFonts w:ascii="Calibri" w:eastAsia="Calibri" w:hAnsi="Calibri" w:cs="Calibri"/>
          <w:highlight w:val="white"/>
          <w:lang w:val="en-GB"/>
        </w:rPr>
        <w:t xml:space="preserve">it </w:t>
      </w:r>
      <w:r w:rsidRPr="00C575D4">
        <w:rPr>
          <w:rFonts w:ascii="Calibri" w:eastAsia="Calibri" w:hAnsi="Calibri" w:cs="Calibri"/>
          <w:highlight w:val="white"/>
          <w:lang w:val="en-GB"/>
        </w:rPr>
        <w:t>through an individual privacy lens. This report fundamentally pivots toward the collective and institutional dimension of human rights, focusing on the digital surveillance-related chilling effects on the exercise of the rights to freedom of assembly, association and participation. It establishes how contemporary digital surveillance destabilizes associative life, collective mobilization, and the long-term solidarity structures necessary to sustain social movements and defend broader human rights frameworks</w:t>
      </w:r>
      <w:r w:rsidRPr="00C575D4">
        <w:rPr>
          <w:lang w:val="en-GB"/>
        </w:rPr>
        <w:t xml:space="preserve">. </w:t>
      </w:r>
    </w:p>
    <w:p w14:paraId="00000006" w14:textId="77777777" w:rsidR="00A82520" w:rsidRPr="00C575D4" w:rsidRDefault="00000000">
      <w:pPr>
        <w:spacing w:after="160" w:line="240" w:lineRule="auto"/>
        <w:jc w:val="both"/>
        <w:rPr>
          <w:rFonts w:ascii="Calibri" w:eastAsia="Calibri" w:hAnsi="Calibri" w:cs="Calibri"/>
          <w:highlight w:val="white"/>
          <w:lang w:val="en-GB"/>
        </w:rPr>
      </w:pPr>
      <w:r w:rsidRPr="00C575D4">
        <w:rPr>
          <w:rFonts w:ascii="Calibri" w:eastAsia="Calibri" w:hAnsi="Calibri" w:cs="Calibri"/>
          <w:highlight w:val="white"/>
          <w:lang w:val="en-GB"/>
        </w:rPr>
        <w:t xml:space="preserve">The report indicates that there is an intensification of intrusive, high-risk surveillance systems worldwide justified by global securitization, counterterrorism frameworks, and the militarization of domestic policing. The </w:t>
      </w:r>
      <w:proofErr w:type="spellStart"/>
      <w:r w:rsidRPr="00C575D4">
        <w:rPr>
          <w:rFonts w:ascii="Calibri" w:eastAsia="Calibri" w:hAnsi="Calibri" w:cs="Calibri"/>
          <w:highlight w:val="white"/>
          <w:lang w:val="en-GB"/>
        </w:rPr>
        <w:t>overdigitalized</w:t>
      </w:r>
      <w:proofErr w:type="spellEnd"/>
      <w:r w:rsidRPr="00C575D4">
        <w:rPr>
          <w:rFonts w:ascii="Calibri" w:eastAsia="Calibri" w:hAnsi="Calibri" w:cs="Calibri"/>
          <w:highlight w:val="white"/>
          <w:lang w:val="en-GB"/>
        </w:rPr>
        <w:t xml:space="preserve"> environment creates a surveillance ecosystem managed by both state and non-state actors. The state of enhanced surveillance triggers a chilling effect on individuals and organizations’ exercise of rights and freedoms. Chilling effects occur when individuals alter their otherwise normal </w:t>
      </w:r>
      <w:proofErr w:type="spellStart"/>
      <w:r w:rsidRPr="00C575D4">
        <w:rPr>
          <w:rFonts w:ascii="Calibri" w:eastAsia="Calibri" w:hAnsi="Calibri" w:cs="Calibri"/>
          <w:highlight w:val="white"/>
          <w:lang w:val="en-GB"/>
        </w:rPr>
        <w:t>behavior</w:t>
      </w:r>
      <w:proofErr w:type="spellEnd"/>
      <w:r w:rsidRPr="00C575D4">
        <w:rPr>
          <w:rFonts w:ascii="Calibri" w:eastAsia="Calibri" w:hAnsi="Calibri" w:cs="Calibri"/>
          <w:highlight w:val="white"/>
          <w:lang w:val="en-GB"/>
        </w:rPr>
        <w:t xml:space="preserve"> due to perceived, suggested, or actual monitoring. Chilling effects impact human rights simultaneously and interfere with their interconnected and interdependent interplay. In this sense they exert compound human rights harm.</w:t>
      </w:r>
    </w:p>
    <w:p w14:paraId="00000007" w14:textId="77777777" w:rsidR="00A82520" w:rsidRPr="00C575D4" w:rsidRDefault="00000000">
      <w:pPr>
        <w:spacing w:after="160" w:line="240" w:lineRule="auto"/>
        <w:jc w:val="both"/>
        <w:rPr>
          <w:rFonts w:ascii="Calibri" w:eastAsia="Calibri" w:hAnsi="Calibri" w:cs="Calibri"/>
          <w:highlight w:val="white"/>
          <w:lang w:val="en-GB"/>
        </w:rPr>
      </w:pPr>
      <w:r w:rsidRPr="00C575D4">
        <w:rPr>
          <w:rFonts w:ascii="Calibri" w:eastAsia="Calibri" w:hAnsi="Calibri" w:cs="Calibri"/>
          <w:highlight w:val="white"/>
          <w:lang w:val="en-GB"/>
        </w:rPr>
        <w:t>The long-term operational impacts of these chilling effects severely hinder the exercise of the freedoms of peaceful assembly and association (</w:t>
      </w:r>
      <w:proofErr w:type="spellStart"/>
      <w:r w:rsidRPr="00C575D4">
        <w:rPr>
          <w:rFonts w:ascii="Calibri" w:eastAsia="Calibri" w:hAnsi="Calibri" w:cs="Calibri"/>
          <w:highlight w:val="white"/>
          <w:lang w:val="en-GB"/>
        </w:rPr>
        <w:t>FoAA</w:t>
      </w:r>
      <w:proofErr w:type="spellEnd"/>
      <w:r w:rsidRPr="00C575D4">
        <w:rPr>
          <w:rFonts w:ascii="Calibri" w:eastAsia="Calibri" w:hAnsi="Calibri" w:cs="Calibri"/>
          <w:highlight w:val="white"/>
          <w:lang w:val="en-GB"/>
        </w:rPr>
        <w:t xml:space="preserve">) as it: </w:t>
      </w:r>
      <w:proofErr w:type="spellStart"/>
      <w:r w:rsidRPr="00C575D4">
        <w:rPr>
          <w:rFonts w:ascii="Calibri" w:eastAsia="Calibri" w:hAnsi="Calibri" w:cs="Calibri"/>
          <w:highlight w:val="white"/>
          <w:lang w:val="en-GB"/>
        </w:rPr>
        <w:t>i</w:t>
      </w:r>
      <w:proofErr w:type="spellEnd"/>
      <w:r w:rsidRPr="00C575D4">
        <w:rPr>
          <w:rFonts w:ascii="Calibri" w:eastAsia="Calibri" w:hAnsi="Calibri" w:cs="Calibri"/>
          <w:highlight w:val="white"/>
          <w:lang w:val="en-GB"/>
        </w:rPr>
        <w:t>) erodes interpersonal trust and social fabric: Trust is no longer a given component of organizing; it must be continuously negotiated; ii) creates a process of de-socialization and reduces the prospects for collective action; iii) affects individuals, associations, social movements and assemblies’ ability to pursue their chosen objectives, and it reduces their ability organise, mobilise, access and manage resources, as well as other essential activities such as planning, choice of strategy/objectives, dissemination of information, communication and expression, free movement, access to solidarity, etc; iv) strip individuals of their right to public anonymity and directly discourages activists, marginalized communities, and students from participating in peaceful demonstrations; v) pushed movements into digital assemblies that shift exposure of activists to new risks: remote digital attacks, state-sponsored internet shutdowns, aggressive public smear campaigns, among others; vi) forces organizations to divert efforts and operational budgets away from their missional objectives; vii) generates severe medical harms, including mental health issues. Activists struggle with depression, emotional exhaustion, and burnout, Post-Traumatic Stress Disorder (PTSD) and severe hypervigilance. This hyper-alertness disrupts basic sleeping patterns, alters domestic peace, and transforms mundane activities like routine community interactions into sources of intense psychological anxiety.</w:t>
      </w:r>
    </w:p>
    <w:p w14:paraId="00000008" w14:textId="77777777" w:rsidR="00A82520" w:rsidRPr="00C575D4" w:rsidRDefault="00000000">
      <w:pPr>
        <w:spacing w:after="80" w:line="240" w:lineRule="auto"/>
        <w:rPr>
          <w:rFonts w:ascii="Calibri" w:eastAsia="Calibri" w:hAnsi="Calibri" w:cs="Calibri"/>
          <w:lang w:val="en-GB"/>
        </w:rPr>
      </w:pPr>
      <w:r w:rsidRPr="00C575D4">
        <w:rPr>
          <w:rFonts w:ascii="Calibri" w:eastAsia="Calibri" w:hAnsi="Calibri" w:cs="Calibri"/>
          <w:b/>
          <w:bCs/>
          <w:lang w:val="en-GB"/>
        </w:rPr>
        <w:t>Suggested points of engagement for States during the interactive dialogue</w:t>
      </w:r>
      <w:r w:rsidRPr="00C575D4">
        <w:rPr>
          <w:rFonts w:ascii="Calibri" w:eastAsia="Calibri" w:hAnsi="Calibri" w:cs="Calibri"/>
          <w:lang w:val="en-GB"/>
        </w:rPr>
        <w:t>:</w:t>
      </w:r>
    </w:p>
    <w:p w14:paraId="00000009" w14:textId="5CF4A354" w:rsidR="00A82520" w:rsidRPr="00C575D4" w:rsidRDefault="00000000">
      <w:pPr>
        <w:shd w:val="clear" w:color="auto" w:fill="FFFFFF"/>
        <w:spacing w:after="80" w:line="240" w:lineRule="auto"/>
        <w:jc w:val="both"/>
        <w:rPr>
          <w:rFonts w:ascii="Calibri" w:eastAsia="Calibri" w:hAnsi="Calibri" w:cs="Calibri"/>
          <w:color w:val="222222"/>
          <w:lang w:val="en-GB"/>
        </w:rPr>
      </w:pPr>
      <w:r w:rsidRPr="00C575D4">
        <w:rPr>
          <w:rFonts w:ascii="Calibri" w:eastAsia="Calibri" w:hAnsi="Calibri" w:cs="Calibri"/>
          <w:lang w:val="en-GB"/>
        </w:rPr>
        <w:t>∙       The report demonstrates the very significant impacts that surveillance chilling effects can exert on the rights to freedom of assembly and of association, but of course surveillance is also deployed in the interests of protecting human rights and public safety, how do we resolve this?</w:t>
      </w:r>
    </w:p>
    <w:p w14:paraId="395D5FE4" w14:textId="77777777" w:rsidR="00C06DA9" w:rsidRDefault="00000000" w:rsidP="00C06DA9">
      <w:pPr>
        <w:shd w:val="clear" w:color="auto" w:fill="FFFFFF"/>
        <w:spacing w:after="80" w:line="240" w:lineRule="auto"/>
        <w:jc w:val="both"/>
        <w:rPr>
          <w:rFonts w:ascii="Calibri" w:eastAsia="Calibri" w:hAnsi="Calibri" w:cs="Calibri"/>
          <w:lang w:val="en-GB"/>
        </w:rPr>
      </w:pPr>
      <w:r w:rsidRPr="00C575D4">
        <w:rPr>
          <w:rFonts w:ascii="Calibri" w:eastAsia="Calibri" w:hAnsi="Calibri" w:cs="Calibri"/>
          <w:lang w:val="en-GB"/>
        </w:rPr>
        <w:t>∙       </w:t>
      </w:r>
      <w:r w:rsidR="00C575D4">
        <w:rPr>
          <w:rFonts w:ascii="Calibri" w:eastAsia="Calibri" w:hAnsi="Calibri" w:cs="Calibri"/>
          <w:lang w:val="en-GB"/>
        </w:rPr>
        <w:t xml:space="preserve">The report </w:t>
      </w:r>
      <w:r w:rsidR="00C575D4" w:rsidRPr="00C575D4">
        <w:rPr>
          <w:rFonts w:ascii="Calibri" w:eastAsia="Calibri" w:hAnsi="Calibri" w:cs="Calibri"/>
          <w:lang w:val="en-GB"/>
        </w:rPr>
        <w:t>note</w:t>
      </w:r>
      <w:r w:rsidR="00C575D4">
        <w:rPr>
          <w:rFonts w:ascii="Calibri" w:eastAsia="Calibri" w:hAnsi="Calibri" w:cs="Calibri"/>
          <w:lang w:val="en-GB"/>
        </w:rPr>
        <w:t>s</w:t>
      </w:r>
      <w:r w:rsidR="00C575D4" w:rsidRPr="00C575D4">
        <w:rPr>
          <w:rFonts w:ascii="Calibri" w:eastAsia="Calibri" w:hAnsi="Calibri" w:cs="Calibri"/>
          <w:lang w:val="en-GB"/>
        </w:rPr>
        <w:t xml:space="preserve"> that exiled activists face transnational repression via digital means. What realistic legal mechanisms can a host state implement to stop foreign states from digitally targeting diaspora communities within domestic borders?</w:t>
      </w:r>
    </w:p>
    <w:p w14:paraId="0000000D" w14:textId="298E624B" w:rsidR="00A82520" w:rsidRDefault="00C06DA9" w:rsidP="00C06DA9">
      <w:pPr>
        <w:shd w:val="clear" w:color="auto" w:fill="FFFFFF"/>
        <w:spacing w:after="80" w:line="240" w:lineRule="auto"/>
        <w:jc w:val="both"/>
        <w:rPr>
          <w:rFonts w:ascii="Calibri" w:eastAsia="Calibri" w:hAnsi="Calibri" w:cs="Calibri"/>
          <w:lang w:val="en-GB"/>
        </w:rPr>
      </w:pPr>
      <w:r w:rsidRPr="00C06DA9">
        <w:rPr>
          <w:rFonts w:ascii="Calibri" w:eastAsia="Calibri" w:hAnsi="Calibri" w:cs="Calibri"/>
          <w:lang w:val="en-GB"/>
        </w:rPr>
        <w:t xml:space="preserve">- The report calls on the business sector to implement stringent </w:t>
      </w:r>
      <w:r w:rsidR="00C24FF1">
        <w:rPr>
          <w:rFonts w:ascii="Calibri" w:eastAsia="Calibri" w:hAnsi="Calibri" w:cs="Calibri"/>
          <w:lang w:val="en-GB"/>
        </w:rPr>
        <w:t xml:space="preserve">HHRR </w:t>
      </w:r>
      <w:r w:rsidRPr="00C06DA9">
        <w:rPr>
          <w:rFonts w:ascii="Calibri" w:eastAsia="Calibri" w:hAnsi="Calibri" w:cs="Calibri"/>
          <w:lang w:val="en-GB"/>
        </w:rPr>
        <w:t>due diligence across the full life cycle of surveillance technologies</w:t>
      </w:r>
      <w:r>
        <w:rPr>
          <w:rFonts w:ascii="Calibri" w:eastAsia="Calibri" w:hAnsi="Calibri" w:cs="Calibri"/>
          <w:lang w:val="en-GB"/>
        </w:rPr>
        <w:t xml:space="preserve">, </w:t>
      </w:r>
      <w:r w:rsidR="00C24FF1">
        <w:rPr>
          <w:rFonts w:ascii="Calibri" w:eastAsia="Calibri" w:hAnsi="Calibri" w:cs="Calibri"/>
          <w:lang w:val="en-GB"/>
        </w:rPr>
        <w:t xml:space="preserve">can you </w:t>
      </w:r>
      <w:r>
        <w:rPr>
          <w:rFonts w:ascii="Calibri" w:eastAsia="Calibri" w:hAnsi="Calibri" w:cs="Calibri"/>
          <w:lang w:val="en-GB"/>
        </w:rPr>
        <w:t xml:space="preserve">share </w:t>
      </w:r>
      <w:r w:rsidR="00C24FF1">
        <w:rPr>
          <w:rFonts w:ascii="Calibri" w:eastAsia="Calibri" w:hAnsi="Calibri" w:cs="Calibri"/>
          <w:lang w:val="en-GB"/>
        </w:rPr>
        <w:t xml:space="preserve">best practices on </w:t>
      </w:r>
      <w:r>
        <w:rPr>
          <w:rFonts w:ascii="Calibri" w:eastAsia="Calibri" w:hAnsi="Calibri" w:cs="Calibri"/>
          <w:lang w:val="en-GB"/>
        </w:rPr>
        <w:t>how states can ensure this?</w:t>
      </w:r>
    </w:p>
    <w:p w14:paraId="62489735" w14:textId="44FF9A12" w:rsidR="00C24FF1" w:rsidRPr="00C575D4" w:rsidRDefault="00C24FF1" w:rsidP="00C06DA9">
      <w:pPr>
        <w:shd w:val="clear" w:color="auto" w:fill="FFFFFF"/>
        <w:spacing w:after="80" w:line="240" w:lineRule="auto"/>
        <w:jc w:val="both"/>
        <w:rPr>
          <w:rFonts w:ascii="Calibri" w:eastAsia="Calibri" w:hAnsi="Calibri" w:cs="Calibri"/>
          <w:lang w:val="en-GB"/>
        </w:rPr>
      </w:pPr>
      <w:r>
        <w:rPr>
          <w:rFonts w:ascii="Calibri" w:eastAsia="Calibri" w:hAnsi="Calibri" w:cs="Calibri"/>
          <w:lang w:val="en-GB"/>
        </w:rPr>
        <w:t xml:space="preserve">- How </w:t>
      </w:r>
      <w:r w:rsidRPr="00C24FF1">
        <w:rPr>
          <w:rFonts w:ascii="Calibri" w:eastAsia="Calibri" w:hAnsi="Calibri" w:cs="Calibri"/>
          <w:lang w:val="en-GB"/>
        </w:rPr>
        <w:t xml:space="preserve">can a State </w:t>
      </w:r>
      <w:r>
        <w:rPr>
          <w:rFonts w:ascii="Calibri" w:eastAsia="Calibri" w:hAnsi="Calibri" w:cs="Calibri"/>
          <w:lang w:val="en-GB"/>
        </w:rPr>
        <w:t xml:space="preserve">include analysis related to </w:t>
      </w:r>
      <w:r w:rsidRPr="00C24FF1">
        <w:rPr>
          <w:rFonts w:ascii="Calibri" w:eastAsia="Calibri" w:hAnsi="Calibri" w:cs="Calibri"/>
          <w:lang w:val="en-GB"/>
        </w:rPr>
        <w:t>chilling effect</w:t>
      </w:r>
      <w:r>
        <w:rPr>
          <w:rFonts w:ascii="Calibri" w:eastAsia="Calibri" w:hAnsi="Calibri" w:cs="Calibri"/>
          <w:lang w:val="en-GB"/>
        </w:rPr>
        <w:t xml:space="preserve">, and its possible compound harm, </w:t>
      </w:r>
      <w:r w:rsidRPr="00C24FF1">
        <w:rPr>
          <w:rFonts w:ascii="Calibri" w:eastAsia="Calibri" w:hAnsi="Calibri" w:cs="Calibri"/>
          <w:lang w:val="en-GB"/>
        </w:rPr>
        <w:t>in a necessity and proportionality analysis</w:t>
      </w:r>
      <w:r>
        <w:rPr>
          <w:rFonts w:ascii="Calibri" w:eastAsia="Calibri" w:hAnsi="Calibri" w:cs="Calibri"/>
          <w:lang w:val="en-GB"/>
        </w:rPr>
        <w:t>?</w:t>
      </w:r>
    </w:p>
    <w:sectPr w:rsidR="00C24FF1" w:rsidRPr="00C575D4" w:rsidSect="00C24FF1">
      <w:pgSz w:w="11909" w:h="16834"/>
      <w:pgMar w:top="1440" w:right="1277"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E77B1CC-32EB-4746-89FD-2A302FCE908F}"/>
    <w:embedBold r:id="rId2" w:fontKey="{BBC5C5C3-6FBC-46F4-A384-99BB933C1045}"/>
  </w:font>
  <w:font w:name="Courier New">
    <w:panose1 w:val="02070309020205020404"/>
    <w:charset w:val="00"/>
    <w:family w:val="modern"/>
    <w:pitch w:val="fixed"/>
    <w:sig w:usb0="E0002EFF" w:usb1="C0007843"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398396E-E744-41CF-8F34-DE44271218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042D"/>
    <w:multiLevelType w:val="hybridMultilevel"/>
    <w:tmpl w:val="0DF8318A"/>
    <w:lvl w:ilvl="0" w:tplc="37681D00">
      <w:start w:val="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74478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520"/>
    <w:rsid w:val="006C27A8"/>
    <w:rsid w:val="00A82520"/>
    <w:rsid w:val="00C06DA9"/>
    <w:rsid w:val="00C24FF1"/>
    <w:rsid w:val="00C575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81640"/>
  <w15:docId w15:val="{CE688CE1-3CFA-49DC-882E-965279AE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C06D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86206718BE0B479D048717DD0575B4" ma:contentTypeVersion="0" ma:contentTypeDescription="Create a new document." ma:contentTypeScope="" ma:versionID="273b8926006c37795b8cde41044014cd">
  <xsd:schema xmlns:xsd="http://www.w3.org/2001/XMLSchema" xmlns:xs="http://www.w3.org/2001/XMLSchema" xmlns:p="http://schemas.microsoft.com/office/2006/metadata/properties" targetNamespace="http://schemas.microsoft.com/office/2006/metadata/properties" ma:root="true" ma:fieldsID="0ac3a7447a7246b5c45829a245a11f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77B17D-721B-4E96-AF1E-B78B6E162163}"/>
</file>

<file path=customXml/itemProps2.xml><?xml version="1.0" encoding="utf-8"?>
<ds:datastoreItem xmlns:ds="http://schemas.openxmlformats.org/officeDocument/2006/customXml" ds:itemID="{F5E1F8BA-2875-41A6-90CD-84ECF0B83C5C}"/>
</file>

<file path=customXml/itemProps3.xml><?xml version="1.0" encoding="utf-8"?>
<ds:datastoreItem xmlns:ds="http://schemas.openxmlformats.org/officeDocument/2006/customXml" ds:itemID="{8D8058FC-79A6-44C2-8EC6-8411078A8043}"/>
</file>

<file path=docProps/app.xml><?xml version="1.0" encoding="utf-8"?>
<Properties xmlns="http://schemas.openxmlformats.org/officeDocument/2006/extended-properties" xmlns:vt="http://schemas.openxmlformats.org/officeDocument/2006/docPropsVTypes">
  <Template>Normal</Template>
  <TotalTime>37</TotalTime>
  <Pages>1</Pages>
  <Words>568</Words>
  <Characters>3654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Gina Romero</cp:lastModifiedBy>
  <cp:revision>3</cp:revision>
  <dcterms:created xsi:type="dcterms:W3CDTF">2026-06-15T01:29:00Z</dcterms:created>
  <dcterms:modified xsi:type="dcterms:W3CDTF">2026-06-15T02:13:00Z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0x0101006186206718BE0B479D048717DD0575B4</vt:lpwstr>
  </property>
</Properties>
</file>