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D1EE" w14:textId="10C72A67" w:rsidR="00DE5624" w:rsidRPr="00DE5624" w:rsidRDefault="00E60DDB" w:rsidP="00BB14ED">
      <w:pPr>
        <w:spacing w:after="120" w:line="240" w:lineRule="auto"/>
        <w:ind w:left="-709" w:right="-896"/>
        <w:jc w:val="center"/>
        <w:rPr>
          <w:rFonts w:cs="Calibri"/>
          <w:b/>
          <w:sz w:val="24"/>
          <w:szCs w:val="24"/>
        </w:rPr>
      </w:pPr>
      <w:r>
        <w:rPr>
          <w:rFonts w:cs="Calibri"/>
          <w:b/>
          <w:sz w:val="24"/>
          <w:szCs w:val="24"/>
        </w:rPr>
        <w:t>61</w:t>
      </w:r>
      <w:r w:rsidR="002C584F">
        <w:rPr>
          <w:rFonts w:cs="Calibri"/>
          <w:b/>
          <w:sz w:val="24"/>
          <w:szCs w:val="24"/>
        </w:rPr>
        <w:t>st</w:t>
      </w:r>
      <w:r>
        <w:rPr>
          <w:rFonts w:cs="Calibri"/>
          <w:b/>
          <w:sz w:val="24"/>
          <w:szCs w:val="24"/>
        </w:rPr>
        <w:t xml:space="preserve"> </w:t>
      </w:r>
      <w:r w:rsidR="00DE5624" w:rsidRPr="00DE5624">
        <w:rPr>
          <w:rFonts w:cs="Calibri"/>
          <w:b/>
          <w:sz w:val="24"/>
          <w:szCs w:val="24"/>
        </w:rPr>
        <w:t>session of the Human Rights Council</w:t>
      </w:r>
    </w:p>
    <w:p w14:paraId="7B2D3B59" w14:textId="7730BC14" w:rsidR="00DE5624" w:rsidRPr="00D92834" w:rsidRDefault="00DE5624" w:rsidP="004926F3">
      <w:pPr>
        <w:spacing w:before="240" w:after="120" w:line="240" w:lineRule="auto"/>
        <w:ind w:left="-709" w:right="-896"/>
        <w:jc w:val="center"/>
        <w:rPr>
          <w:rFonts w:cs="Calibri"/>
          <w:b/>
          <w:bCs/>
          <w:sz w:val="28"/>
          <w:szCs w:val="28"/>
          <w:lang w:val="en-US"/>
        </w:rPr>
      </w:pPr>
      <w:r w:rsidRPr="00DE5624">
        <w:rPr>
          <w:rFonts w:cs="Calibri"/>
          <w:b/>
          <w:bCs/>
          <w:sz w:val="32"/>
          <w:szCs w:val="32"/>
        </w:rPr>
        <w:t>Annual interactive debate on the rights of persons with disabilities</w:t>
      </w:r>
      <w:r w:rsidRPr="00DE5624">
        <w:rPr>
          <w:rFonts w:cs="Calibri"/>
          <w:b/>
          <w:bCs/>
          <w:sz w:val="32"/>
          <w:szCs w:val="32"/>
        </w:rPr>
        <w:br/>
      </w:r>
      <w:r w:rsidRPr="00DE5624">
        <w:rPr>
          <w:rFonts w:cs="Calibri"/>
          <w:b/>
          <w:bCs/>
          <w:sz w:val="16"/>
          <w:szCs w:val="16"/>
        </w:rPr>
        <w:br/>
      </w:r>
      <w:r w:rsidRPr="00DE5624">
        <w:rPr>
          <w:rFonts w:cs="Calibri"/>
          <w:b/>
          <w:bCs/>
          <w:sz w:val="28"/>
          <w:szCs w:val="28"/>
        </w:rPr>
        <w:t xml:space="preserve">Theme: </w:t>
      </w:r>
      <w:r w:rsidR="0068075F">
        <w:rPr>
          <w:rFonts w:cs="Calibri"/>
          <w:b/>
          <w:bCs/>
          <w:sz w:val="28"/>
          <w:szCs w:val="28"/>
        </w:rPr>
        <w:t>D</w:t>
      </w:r>
      <w:r w:rsidR="00B9431B">
        <w:rPr>
          <w:rFonts w:cs="Calibri"/>
          <w:b/>
          <w:bCs/>
          <w:sz w:val="28"/>
          <w:szCs w:val="28"/>
        </w:rPr>
        <w:t>isability</w:t>
      </w:r>
      <w:r w:rsidR="00D92834">
        <w:rPr>
          <w:rFonts w:cs="Calibri"/>
          <w:b/>
          <w:bCs/>
          <w:sz w:val="28"/>
          <w:szCs w:val="28"/>
          <w:lang w:val="en-US"/>
        </w:rPr>
        <w:t>-inclusive infrastructure, including transport and housing</w:t>
      </w:r>
    </w:p>
    <w:p w14:paraId="114AC5C4" w14:textId="645F0393" w:rsidR="00DE5624" w:rsidRPr="00DE5624" w:rsidRDefault="00DE5624" w:rsidP="00BB14ED">
      <w:pPr>
        <w:spacing w:before="240" w:after="120" w:line="240" w:lineRule="auto"/>
        <w:ind w:left="-709" w:right="-896"/>
        <w:jc w:val="center"/>
        <w:rPr>
          <w:rFonts w:cs="Calibri"/>
          <w:i/>
          <w:sz w:val="16"/>
          <w:szCs w:val="16"/>
        </w:rPr>
      </w:pPr>
      <w:r w:rsidRPr="00DE5624">
        <w:rPr>
          <w:rFonts w:cs="Calibri"/>
          <w:i/>
          <w:sz w:val="24"/>
          <w:szCs w:val="24"/>
        </w:rPr>
        <w:t xml:space="preserve">Concept note (as of </w:t>
      </w:r>
      <w:r w:rsidR="009F5805">
        <w:rPr>
          <w:rFonts w:cs="Calibri"/>
          <w:i/>
          <w:sz w:val="24"/>
          <w:szCs w:val="24"/>
        </w:rPr>
        <w:t>6 March</w:t>
      </w:r>
      <w:r w:rsidR="009015B8">
        <w:rPr>
          <w:rFonts w:cs="Calibri"/>
          <w:i/>
          <w:sz w:val="24"/>
          <w:szCs w:val="24"/>
        </w:rPr>
        <w:t xml:space="preserve"> 2026</w:t>
      </w:r>
      <w:r w:rsidRPr="00DE5624">
        <w:rPr>
          <w:rFonts w:cs="Calibri"/>
          <w:i/>
          <w:sz w:val="24"/>
          <w:szCs w:val="24"/>
        </w:rPr>
        <w:t>)</w:t>
      </w:r>
    </w:p>
    <w:tbl>
      <w:tblPr>
        <w:tblW w:w="10206" w:type="dxa"/>
        <w:tblInd w:w="-459" w:type="dxa"/>
        <w:tblLook w:val="04A0" w:firstRow="1" w:lastRow="0" w:firstColumn="1" w:lastColumn="0" w:noHBand="0" w:noVBand="1"/>
      </w:tblPr>
      <w:tblGrid>
        <w:gridCol w:w="1450"/>
        <w:gridCol w:w="8756"/>
      </w:tblGrid>
      <w:tr w:rsidR="00DE5624" w:rsidRPr="00DE5624" w14:paraId="2D2CB72E" w14:textId="77777777" w:rsidTr="291FEDAC">
        <w:tc>
          <w:tcPr>
            <w:tcW w:w="1450" w:type="dxa"/>
          </w:tcPr>
          <w:p w14:paraId="7C91A121" w14:textId="77777777" w:rsidR="00DE5624" w:rsidRPr="00DE5624" w:rsidRDefault="00DE5624" w:rsidP="00BB14ED">
            <w:pPr>
              <w:spacing w:after="0" w:line="240" w:lineRule="auto"/>
              <w:rPr>
                <w:rFonts w:cs="Calibri"/>
                <w:b/>
              </w:rPr>
            </w:pPr>
            <w:r w:rsidRPr="00DE5624">
              <w:rPr>
                <w:rFonts w:cs="Calibri"/>
                <w:b/>
              </w:rPr>
              <w:t>Date and venue:</w:t>
            </w:r>
          </w:p>
        </w:tc>
        <w:tc>
          <w:tcPr>
            <w:tcW w:w="8756" w:type="dxa"/>
          </w:tcPr>
          <w:p w14:paraId="79DF6047" w14:textId="1EC4CEDF" w:rsidR="00DE5624" w:rsidRPr="00DE5624" w:rsidRDefault="00F74DD8" w:rsidP="00F74DD8">
            <w:pPr>
              <w:spacing w:after="0" w:line="240" w:lineRule="auto"/>
              <w:rPr>
                <w:rFonts w:cs="Calibri"/>
                <w:b/>
                <w:bCs/>
              </w:rPr>
            </w:pPr>
            <w:r w:rsidRPr="00F74DD8">
              <w:rPr>
                <w:rFonts w:cs="Calibri"/>
                <w:b/>
                <w:bCs/>
              </w:rPr>
              <w:t>Friday, 6 March</w:t>
            </w:r>
            <w:r w:rsidR="0054329E">
              <w:rPr>
                <w:rFonts w:cs="Calibri"/>
                <w:b/>
                <w:bCs/>
              </w:rPr>
              <w:t xml:space="preserve"> 2026</w:t>
            </w:r>
            <w:r w:rsidR="00BD1330">
              <w:rPr>
                <w:rFonts w:cs="Calibri"/>
                <w:b/>
                <w:bCs/>
              </w:rPr>
              <w:t xml:space="preserve">, </w:t>
            </w:r>
            <w:r w:rsidR="00BD1330">
              <w:rPr>
                <w:rFonts w:cs="Arial"/>
                <w:b/>
                <w:bCs/>
                <w:sz w:val="23"/>
                <w:szCs w:val="23"/>
              </w:rPr>
              <w:t>3</w:t>
            </w:r>
            <w:r w:rsidR="00D45651">
              <w:rPr>
                <w:rFonts w:cs="Arial"/>
                <w:b/>
                <w:bCs/>
                <w:sz w:val="23"/>
                <w:szCs w:val="23"/>
              </w:rPr>
              <w:t>.</w:t>
            </w:r>
            <w:r w:rsidR="00BD1330">
              <w:rPr>
                <w:rFonts w:cs="Arial"/>
                <w:b/>
                <w:bCs/>
                <w:sz w:val="23"/>
                <w:szCs w:val="23"/>
              </w:rPr>
              <w:t>30</w:t>
            </w:r>
            <w:r w:rsidR="00BD1330" w:rsidRPr="00F91F3E">
              <w:rPr>
                <w:rFonts w:cs="Arial"/>
                <w:b/>
                <w:bCs/>
                <w:sz w:val="23"/>
                <w:szCs w:val="23"/>
              </w:rPr>
              <w:t>–</w:t>
            </w:r>
            <w:r w:rsidR="00BD1330">
              <w:rPr>
                <w:rFonts w:cs="Arial"/>
                <w:b/>
                <w:bCs/>
                <w:sz w:val="23"/>
                <w:szCs w:val="23"/>
              </w:rPr>
              <w:t>5</w:t>
            </w:r>
            <w:r w:rsidR="00D45651">
              <w:rPr>
                <w:rFonts w:cs="Arial"/>
                <w:b/>
                <w:bCs/>
                <w:sz w:val="23"/>
                <w:szCs w:val="23"/>
              </w:rPr>
              <w:t>.</w:t>
            </w:r>
            <w:r w:rsidR="00BD1330">
              <w:rPr>
                <w:rFonts w:cs="Arial"/>
                <w:b/>
                <w:bCs/>
                <w:sz w:val="23"/>
                <w:szCs w:val="23"/>
              </w:rPr>
              <w:t>30</w:t>
            </w:r>
            <w:r w:rsidR="00BD1330" w:rsidRPr="006D43EC">
              <w:rPr>
                <w:rFonts w:cs="Arial"/>
                <w:b/>
                <w:bCs/>
                <w:sz w:val="23"/>
                <w:szCs w:val="23"/>
              </w:rPr>
              <w:t xml:space="preserve"> p.m.</w:t>
            </w:r>
            <w:r w:rsidR="00DE5624" w:rsidRPr="4D4B0FE2">
              <w:rPr>
                <w:rFonts w:cs="Calibri"/>
                <w:b/>
                <w:bCs/>
              </w:rPr>
              <w:t xml:space="preserve">  </w:t>
            </w:r>
            <w:r w:rsidR="00DE5624">
              <w:br/>
            </w:r>
            <w:r w:rsidR="001B5C8A">
              <w:rPr>
                <w:rFonts w:cs="Calibri"/>
                <w:b/>
                <w:bCs/>
              </w:rPr>
              <w:t>Assembly Hall</w:t>
            </w:r>
            <w:r w:rsidR="00DE5624" w:rsidRPr="4D4B0FE2">
              <w:rPr>
                <w:rFonts w:cs="Calibri"/>
                <w:b/>
                <w:bCs/>
              </w:rPr>
              <w:t>, Palais des Nations, Geneva</w:t>
            </w:r>
          </w:p>
          <w:p w14:paraId="097D7636" w14:textId="799E7CC5" w:rsidR="00DE5624" w:rsidRPr="00DE5624" w:rsidRDefault="00DE5624" w:rsidP="00BB14ED">
            <w:pPr>
              <w:spacing w:after="120" w:line="240" w:lineRule="auto"/>
              <w:rPr>
                <w:rFonts w:cs="Calibri"/>
                <w:i/>
              </w:rPr>
            </w:pPr>
            <w:r w:rsidRPr="00DE5624">
              <w:rPr>
                <w:rFonts w:cs="Calibri"/>
                <w:i/>
              </w:rPr>
              <w:t xml:space="preserve">(broadcast live and archived at </w:t>
            </w:r>
            <w:hyperlink r:id="rId11" w:history="1">
              <w:r w:rsidR="004B68A3" w:rsidRPr="00BB7BAC">
                <w:rPr>
                  <w:rStyle w:val="Hyperlink"/>
                  <w:rFonts w:cs="Calibri"/>
                  <w:i/>
                </w:rPr>
                <w:t>https://webtv.un.org</w:t>
              </w:r>
            </w:hyperlink>
            <w:r w:rsidRPr="00086298">
              <w:rPr>
                <w:rStyle w:val="Hyperlink"/>
                <w:rFonts w:cs="Calibri"/>
                <w:i/>
                <w:color w:val="000000" w:themeColor="text1"/>
                <w:u w:val="none"/>
              </w:rPr>
              <w:t>)</w:t>
            </w:r>
          </w:p>
        </w:tc>
      </w:tr>
      <w:tr w:rsidR="00DE5624" w:rsidRPr="00DE5624" w14:paraId="5A4B71EB" w14:textId="77777777" w:rsidTr="291FEDAC">
        <w:tc>
          <w:tcPr>
            <w:tcW w:w="1450" w:type="dxa"/>
          </w:tcPr>
          <w:p w14:paraId="277C3714" w14:textId="77777777" w:rsidR="00DE5624" w:rsidRPr="00DE5624" w:rsidRDefault="00DE5624" w:rsidP="00BB14ED">
            <w:pPr>
              <w:spacing w:after="0" w:line="240" w:lineRule="auto"/>
              <w:rPr>
                <w:rFonts w:cs="Calibri"/>
                <w:b/>
              </w:rPr>
            </w:pPr>
            <w:r w:rsidRPr="00DE5624">
              <w:rPr>
                <w:rFonts w:cs="Calibri"/>
                <w:b/>
              </w:rPr>
              <w:t>Objectives:</w:t>
            </w:r>
          </w:p>
        </w:tc>
        <w:tc>
          <w:tcPr>
            <w:tcW w:w="8756" w:type="dxa"/>
          </w:tcPr>
          <w:p w14:paraId="6359CC29" w14:textId="51CC44D8" w:rsidR="00DE5624" w:rsidRPr="00DE5624" w:rsidRDefault="00A536BF" w:rsidP="00AF475A">
            <w:pPr>
              <w:spacing w:after="120" w:line="240" w:lineRule="auto"/>
              <w:jc w:val="lowKashida"/>
              <w:rPr>
                <w:rFonts w:cs="Calibri"/>
              </w:rPr>
            </w:pPr>
            <w:r w:rsidRPr="00A536BF">
              <w:rPr>
                <w:rFonts w:cs="Calibri"/>
              </w:rPr>
              <w:t xml:space="preserve">This panel </w:t>
            </w:r>
            <w:r w:rsidR="00655E35">
              <w:rPr>
                <w:rFonts w:cs="Calibri"/>
              </w:rPr>
              <w:t xml:space="preserve">discussion </w:t>
            </w:r>
            <w:r w:rsidRPr="00A536BF">
              <w:rPr>
                <w:rFonts w:cs="Calibri"/>
              </w:rPr>
              <w:t>will explore how disability-inclusive infrastructure</w:t>
            </w:r>
            <w:r>
              <w:rPr>
                <w:rFonts w:cs="Calibri"/>
              </w:rPr>
              <w:t>, including</w:t>
            </w:r>
            <w:r w:rsidRPr="00A536BF">
              <w:rPr>
                <w:rFonts w:cs="Calibri"/>
              </w:rPr>
              <w:t xml:space="preserve"> transport and </w:t>
            </w:r>
            <w:r w:rsidR="00A42328" w:rsidRPr="00A536BF">
              <w:rPr>
                <w:rFonts w:cs="Calibri"/>
              </w:rPr>
              <w:t>housing</w:t>
            </w:r>
            <w:r w:rsidR="00A42328">
              <w:rPr>
                <w:rFonts w:cs="Calibri"/>
              </w:rPr>
              <w:t xml:space="preserve">, </w:t>
            </w:r>
            <w:r w:rsidR="00A42328" w:rsidRPr="00A536BF">
              <w:rPr>
                <w:rFonts w:cs="Calibri"/>
              </w:rPr>
              <w:t>is</w:t>
            </w:r>
            <w:r w:rsidRPr="00A536BF">
              <w:rPr>
                <w:rFonts w:cs="Calibri"/>
              </w:rPr>
              <w:t xml:space="preserve"> essential to the realization of the rights of persons with disabilities</w:t>
            </w:r>
            <w:r w:rsidR="00DE5624" w:rsidRPr="00DE5624">
              <w:rPr>
                <w:rFonts w:cs="Calibri"/>
              </w:rPr>
              <w:t>. The objectives are:</w:t>
            </w:r>
          </w:p>
          <w:p w14:paraId="06FA2F31" w14:textId="65F7090B" w:rsidR="00DE5624" w:rsidRPr="00DE5624" w:rsidRDefault="00DE5624" w:rsidP="00AF475A">
            <w:pPr>
              <w:numPr>
                <w:ilvl w:val="0"/>
                <w:numId w:val="1"/>
              </w:numPr>
              <w:spacing w:after="120" w:line="240" w:lineRule="auto"/>
              <w:ind w:hanging="357"/>
              <w:jc w:val="lowKashida"/>
              <w:rPr>
                <w:rFonts w:cs="Calibri"/>
              </w:rPr>
            </w:pPr>
            <w:r w:rsidRPr="00DE5624">
              <w:rPr>
                <w:rFonts w:cs="Calibri"/>
              </w:rPr>
              <w:t xml:space="preserve">To underscore </w:t>
            </w:r>
            <w:r w:rsidR="007E5EC7" w:rsidRPr="007E5EC7">
              <w:rPr>
                <w:rFonts w:cs="Calibri"/>
              </w:rPr>
              <w:t>the role of disability-inclusive infrastructure</w:t>
            </w:r>
            <w:r w:rsidR="007E5EC7">
              <w:rPr>
                <w:rFonts w:cs="Calibri"/>
              </w:rPr>
              <w:t>, including</w:t>
            </w:r>
            <w:r w:rsidR="007E5EC7" w:rsidRPr="007E5EC7">
              <w:rPr>
                <w:rFonts w:cs="Calibri"/>
              </w:rPr>
              <w:t xml:space="preserve"> transport and housing</w:t>
            </w:r>
            <w:r w:rsidR="007E5EC7">
              <w:rPr>
                <w:rFonts w:cs="Calibri"/>
              </w:rPr>
              <w:t>, a</w:t>
            </w:r>
            <w:r w:rsidRPr="00DE5624">
              <w:rPr>
                <w:rFonts w:cs="Calibri"/>
              </w:rPr>
              <w:t>s fundamental elements of human rights-based care and support systems.</w:t>
            </w:r>
          </w:p>
          <w:p w14:paraId="46F12CAA" w14:textId="2F1BF4B3" w:rsidR="00DE5624" w:rsidRPr="00DE5624" w:rsidRDefault="000D1810" w:rsidP="000D1810">
            <w:pPr>
              <w:numPr>
                <w:ilvl w:val="0"/>
                <w:numId w:val="1"/>
              </w:numPr>
              <w:spacing w:after="120" w:line="240" w:lineRule="auto"/>
              <w:ind w:left="363" w:hanging="357"/>
              <w:jc w:val="lowKashida"/>
              <w:rPr>
                <w:rFonts w:cs="Calibri"/>
              </w:rPr>
            </w:pPr>
            <w:r w:rsidRPr="000D1810">
              <w:rPr>
                <w:rFonts w:cs="Calibri"/>
              </w:rPr>
              <w:t>To promote inclusive planning and investment strategies that integrate accessibility across the full transport and housing chain, including point-to-point mobility and individualized housing adjustments</w:t>
            </w:r>
            <w:r w:rsidR="00DE5624" w:rsidRPr="00DE5624">
              <w:rPr>
                <w:rFonts w:cs="Calibri"/>
              </w:rPr>
              <w:t>.</w:t>
            </w:r>
          </w:p>
          <w:p w14:paraId="3B4828A1" w14:textId="22BF68A2" w:rsidR="00DE5624" w:rsidRPr="00DE5624" w:rsidRDefault="00DE5624" w:rsidP="00303409">
            <w:pPr>
              <w:numPr>
                <w:ilvl w:val="0"/>
                <w:numId w:val="1"/>
              </w:numPr>
              <w:spacing w:after="240" w:line="240" w:lineRule="auto"/>
              <w:ind w:left="363" w:hanging="357"/>
              <w:jc w:val="lowKashida"/>
              <w:rPr>
                <w:rFonts w:cs="Calibri"/>
                <w:b/>
                <w:bCs/>
              </w:rPr>
            </w:pPr>
            <w:r w:rsidRPr="00DE5624">
              <w:rPr>
                <w:rFonts w:cs="Calibri"/>
              </w:rPr>
              <w:t xml:space="preserve">To </w:t>
            </w:r>
            <w:r w:rsidR="002429A6">
              <w:rPr>
                <w:rFonts w:cs="Calibri"/>
              </w:rPr>
              <w:t xml:space="preserve">advocate </w:t>
            </w:r>
            <w:r w:rsidR="002429A6" w:rsidRPr="002429A6">
              <w:rPr>
                <w:rFonts w:cs="Calibri"/>
              </w:rPr>
              <w:t>for participatory governance and co-design with persons with disabilities and their representative organizations, emphasizing the importance of inclusive public investment and intersectoral coordination</w:t>
            </w:r>
            <w:r w:rsidRPr="00DE5624">
              <w:rPr>
                <w:rFonts w:cs="Calibri"/>
              </w:rPr>
              <w:t>.</w:t>
            </w:r>
          </w:p>
        </w:tc>
      </w:tr>
      <w:tr w:rsidR="00DE5624" w:rsidRPr="00DE5624" w14:paraId="206BCAD6" w14:textId="77777777" w:rsidTr="291FEDAC">
        <w:tc>
          <w:tcPr>
            <w:tcW w:w="1450" w:type="dxa"/>
          </w:tcPr>
          <w:p w14:paraId="1B5E1E83" w14:textId="77777777" w:rsidR="00DE5624" w:rsidRPr="00DE5624" w:rsidRDefault="00DE5624" w:rsidP="00BB14ED">
            <w:pPr>
              <w:spacing w:after="0" w:line="240" w:lineRule="auto"/>
              <w:rPr>
                <w:rFonts w:cs="Calibri"/>
                <w:b/>
              </w:rPr>
            </w:pPr>
            <w:r w:rsidRPr="00DE5624">
              <w:rPr>
                <w:rFonts w:cs="Calibri"/>
                <w:b/>
              </w:rPr>
              <w:t xml:space="preserve">Chair: </w:t>
            </w:r>
          </w:p>
        </w:tc>
        <w:tc>
          <w:tcPr>
            <w:tcW w:w="8756" w:type="dxa"/>
          </w:tcPr>
          <w:p w14:paraId="04C54EC7" w14:textId="1FB18790" w:rsidR="00DE5624" w:rsidRPr="00604350" w:rsidRDefault="00604350" w:rsidP="00604350">
            <w:pPr>
              <w:spacing w:after="120" w:line="240" w:lineRule="auto"/>
              <w:jc w:val="lowKashida"/>
              <w:rPr>
                <w:rFonts w:cs="Calibri"/>
              </w:rPr>
            </w:pPr>
            <w:r w:rsidRPr="00C02159">
              <w:rPr>
                <w:rFonts w:cs="Calibri"/>
                <w:b/>
                <w:bCs/>
              </w:rPr>
              <w:t xml:space="preserve">H.E. Mr. </w:t>
            </w:r>
            <w:r w:rsidR="00C02159" w:rsidRPr="00C02159">
              <w:rPr>
                <w:rFonts w:cs="Calibri"/>
                <w:b/>
                <w:bCs/>
              </w:rPr>
              <w:t>Marcos Gómez Martínez</w:t>
            </w:r>
            <w:r w:rsidRPr="00604350">
              <w:rPr>
                <w:rFonts w:cs="Calibri"/>
              </w:rPr>
              <w:t xml:space="preserve">, </w:t>
            </w:r>
            <w:r w:rsidR="00C02159">
              <w:rPr>
                <w:rFonts w:cs="Calibri"/>
              </w:rPr>
              <w:t>Vice-</w:t>
            </w:r>
            <w:r w:rsidRPr="00604350">
              <w:rPr>
                <w:rFonts w:cs="Calibri"/>
              </w:rPr>
              <w:t>President of the Human Rights Council</w:t>
            </w:r>
          </w:p>
        </w:tc>
      </w:tr>
      <w:tr w:rsidR="00DE5624" w:rsidRPr="00DE5624" w14:paraId="31FAA0A0" w14:textId="77777777" w:rsidTr="291FEDAC">
        <w:tc>
          <w:tcPr>
            <w:tcW w:w="1450" w:type="dxa"/>
          </w:tcPr>
          <w:p w14:paraId="62514377" w14:textId="77777777" w:rsidR="00DE5624" w:rsidRPr="00DE5624" w:rsidRDefault="00DE5624" w:rsidP="00BB14ED">
            <w:pPr>
              <w:spacing w:after="120" w:line="240" w:lineRule="auto"/>
              <w:rPr>
                <w:rFonts w:cs="Calibri"/>
                <w:b/>
              </w:rPr>
            </w:pPr>
            <w:r w:rsidRPr="00DE5624">
              <w:rPr>
                <w:rFonts w:cs="Calibri"/>
                <w:b/>
              </w:rPr>
              <w:t xml:space="preserve">Opening statement: </w:t>
            </w:r>
          </w:p>
        </w:tc>
        <w:tc>
          <w:tcPr>
            <w:tcW w:w="8756" w:type="dxa"/>
          </w:tcPr>
          <w:p w14:paraId="62961042" w14:textId="7AFFD2A1" w:rsidR="00DE5624" w:rsidRPr="00DE5624" w:rsidRDefault="00DE5624" w:rsidP="00BB14ED">
            <w:pPr>
              <w:spacing w:after="0" w:line="240" w:lineRule="auto"/>
              <w:rPr>
                <w:rFonts w:cs="Calibri"/>
                <w:i/>
                <w:iCs/>
              </w:rPr>
            </w:pPr>
            <w:r w:rsidRPr="00DE5624">
              <w:rPr>
                <w:rFonts w:cs="Calibri"/>
                <w:b/>
                <w:bCs/>
                <w:lang w:val="en-US"/>
              </w:rPr>
              <w:t>Mr. Volker Türk</w:t>
            </w:r>
            <w:r w:rsidRPr="00473BCA">
              <w:rPr>
                <w:rFonts w:cs="Calibri"/>
                <w:lang w:val="en-US"/>
              </w:rPr>
              <w:t>,</w:t>
            </w:r>
            <w:r w:rsidRPr="00DE5624">
              <w:rPr>
                <w:rFonts w:cs="Calibri"/>
                <w:lang w:val="en-US"/>
              </w:rPr>
              <w:t xml:space="preserve"> United Nations High Commissioner for Human Rights</w:t>
            </w:r>
          </w:p>
        </w:tc>
      </w:tr>
      <w:tr w:rsidR="00DE5624" w:rsidRPr="00DE5624" w14:paraId="774456F1" w14:textId="77777777" w:rsidTr="291FEDAC">
        <w:tc>
          <w:tcPr>
            <w:tcW w:w="1450" w:type="dxa"/>
          </w:tcPr>
          <w:p w14:paraId="76F0DC22" w14:textId="77777777" w:rsidR="00DE5624" w:rsidRPr="00DE5624" w:rsidRDefault="00DE5624" w:rsidP="00BB14ED">
            <w:pPr>
              <w:spacing w:after="120" w:line="240" w:lineRule="auto"/>
              <w:rPr>
                <w:rFonts w:cs="Calibri"/>
                <w:b/>
              </w:rPr>
            </w:pPr>
            <w:r w:rsidRPr="00DE5624">
              <w:rPr>
                <w:rFonts w:cs="Calibri"/>
                <w:b/>
              </w:rPr>
              <w:t>Moderator:</w:t>
            </w:r>
          </w:p>
        </w:tc>
        <w:tc>
          <w:tcPr>
            <w:tcW w:w="8756" w:type="dxa"/>
          </w:tcPr>
          <w:p w14:paraId="79F2EB93" w14:textId="28E341EA" w:rsidR="00DE5624" w:rsidRPr="00565B07" w:rsidRDefault="00DE5624" w:rsidP="00303409">
            <w:pPr>
              <w:spacing w:after="240" w:line="240" w:lineRule="auto"/>
              <w:rPr>
                <w:rFonts w:cs="Calibri"/>
              </w:rPr>
            </w:pPr>
            <w:r w:rsidRPr="4D4B0FE2">
              <w:rPr>
                <w:rFonts w:cs="Calibri"/>
                <w:b/>
                <w:bCs/>
              </w:rPr>
              <w:t>Ms. Heba Hagrass</w:t>
            </w:r>
            <w:r w:rsidRPr="00DE5624">
              <w:rPr>
                <w:rFonts w:cs="Calibri"/>
              </w:rPr>
              <w:t>,</w:t>
            </w:r>
            <w:r w:rsidRPr="4D4B0FE2">
              <w:rPr>
                <w:rFonts w:cs="Calibri"/>
                <w:b/>
                <w:bCs/>
              </w:rPr>
              <w:t xml:space="preserve"> </w:t>
            </w:r>
            <w:r w:rsidRPr="00DE5624">
              <w:rPr>
                <w:rFonts w:cs="Calibri"/>
              </w:rPr>
              <w:t xml:space="preserve">Special Rapporteur on the rights of persons with disabilities </w:t>
            </w:r>
          </w:p>
        </w:tc>
      </w:tr>
      <w:tr w:rsidR="00DE5624" w:rsidRPr="00DE5624" w14:paraId="4D4755E0" w14:textId="77777777" w:rsidTr="291FEDAC">
        <w:tc>
          <w:tcPr>
            <w:tcW w:w="1450" w:type="dxa"/>
          </w:tcPr>
          <w:p w14:paraId="13C8552A" w14:textId="77777777" w:rsidR="00DE5624" w:rsidRPr="00DE5624" w:rsidRDefault="00DE5624" w:rsidP="00BB14ED">
            <w:pPr>
              <w:spacing w:after="0" w:line="240" w:lineRule="auto"/>
              <w:rPr>
                <w:rFonts w:cs="Calibri"/>
                <w:b/>
              </w:rPr>
            </w:pPr>
            <w:r w:rsidRPr="00DE5624">
              <w:rPr>
                <w:rFonts w:cs="Calibri"/>
                <w:b/>
              </w:rPr>
              <w:t>Panellists and themes:</w:t>
            </w:r>
          </w:p>
        </w:tc>
        <w:tc>
          <w:tcPr>
            <w:tcW w:w="8756" w:type="dxa"/>
          </w:tcPr>
          <w:p w14:paraId="3457AC77" w14:textId="363D552C" w:rsidR="00116BC7" w:rsidRPr="00116BC7" w:rsidRDefault="00B570F4" w:rsidP="00116BC7">
            <w:pPr>
              <w:pStyle w:val="NoSpacing"/>
              <w:numPr>
                <w:ilvl w:val="0"/>
                <w:numId w:val="3"/>
              </w:numPr>
              <w:spacing w:after="60"/>
              <w:ind w:left="351" w:hanging="357"/>
              <w:rPr>
                <w:rFonts w:cs="Calibri"/>
                <w:i/>
                <w:iCs/>
                <w:lang w:eastAsia="en-GB"/>
              </w:rPr>
            </w:pPr>
            <w:r w:rsidRPr="00C87B8F">
              <w:rPr>
                <w:rFonts w:cs="Calibri"/>
                <w:b/>
                <w:bCs/>
                <w:lang w:val="en-US" w:eastAsia="en-GB"/>
              </w:rPr>
              <w:t>Ms. Esther Nag</w:t>
            </w:r>
            <w:r w:rsidR="0089298E">
              <w:rPr>
                <w:rFonts w:cs="Calibri"/>
                <w:b/>
                <w:bCs/>
                <w:lang w:val="en-US" w:eastAsia="en-GB"/>
              </w:rPr>
              <w:t>e</w:t>
            </w:r>
            <w:r w:rsidRPr="00C87B8F">
              <w:rPr>
                <w:rFonts w:cs="Calibri"/>
                <w:b/>
                <w:bCs/>
                <w:lang w:val="en-US" w:eastAsia="en-GB"/>
              </w:rPr>
              <w:t>tey</w:t>
            </w:r>
            <w:r w:rsidRPr="00C87B8F">
              <w:rPr>
                <w:rFonts w:cs="Calibri"/>
                <w:lang w:val="en-US" w:eastAsia="en-GB"/>
              </w:rPr>
              <w:t xml:space="preserve">, </w:t>
            </w:r>
            <w:r w:rsidR="00090389">
              <w:rPr>
                <w:rFonts w:cs="Calibri"/>
                <w:lang w:val="en-US" w:eastAsia="en-GB"/>
              </w:rPr>
              <w:t xml:space="preserve">Youth Fellow at the </w:t>
            </w:r>
            <w:r w:rsidRPr="00C87B8F">
              <w:rPr>
                <w:rFonts w:cs="Calibri"/>
                <w:lang w:val="en-US" w:eastAsia="en-GB"/>
              </w:rPr>
              <w:t>International Disability Alliance</w:t>
            </w:r>
          </w:p>
          <w:p w14:paraId="38E3A66B" w14:textId="2280126C" w:rsidR="00DE5624" w:rsidRPr="00B570F4" w:rsidRDefault="002E5A90" w:rsidP="00116BC7">
            <w:pPr>
              <w:pStyle w:val="NoSpacing"/>
              <w:spacing w:after="120"/>
              <w:ind w:left="357"/>
              <w:rPr>
                <w:rFonts w:cs="Calibri"/>
                <w:i/>
                <w:iCs/>
                <w:lang w:eastAsia="en-GB"/>
              </w:rPr>
            </w:pPr>
            <w:r w:rsidRPr="00B570F4">
              <w:rPr>
                <w:rFonts w:cs="Calibri"/>
                <w:i/>
                <w:iCs/>
              </w:rPr>
              <w:t xml:space="preserve">Lived experience of persons with disabilities on infrastructure, </w:t>
            </w:r>
            <w:r w:rsidR="00AF44AE" w:rsidRPr="00B570F4">
              <w:rPr>
                <w:rFonts w:cs="Calibri"/>
                <w:i/>
                <w:iCs/>
              </w:rPr>
              <w:t xml:space="preserve">including </w:t>
            </w:r>
            <w:r w:rsidR="008830C4" w:rsidRPr="00B570F4">
              <w:rPr>
                <w:rFonts w:cs="Calibri"/>
                <w:i/>
                <w:iCs/>
              </w:rPr>
              <w:t>transport and housing</w:t>
            </w:r>
            <w:r w:rsidR="004034CA" w:rsidRPr="00B570F4">
              <w:rPr>
                <w:rFonts w:cs="Calibri"/>
                <w:i/>
                <w:iCs/>
              </w:rPr>
              <w:t>: g</w:t>
            </w:r>
            <w:r w:rsidR="00417D44" w:rsidRPr="00B570F4">
              <w:rPr>
                <w:rFonts w:cs="Calibri"/>
                <w:i/>
                <w:iCs/>
              </w:rPr>
              <w:t>overnance</w:t>
            </w:r>
            <w:r w:rsidR="00A84C58" w:rsidRPr="00B570F4">
              <w:rPr>
                <w:rFonts w:cs="Calibri"/>
                <w:i/>
                <w:iCs/>
              </w:rPr>
              <w:t>,</w:t>
            </w:r>
            <w:r w:rsidR="00417D44" w:rsidRPr="00B570F4">
              <w:rPr>
                <w:rFonts w:cs="Calibri"/>
                <w:i/>
                <w:iCs/>
              </w:rPr>
              <w:t xml:space="preserve"> participation, equitable public investment</w:t>
            </w:r>
            <w:r w:rsidR="00A50097" w:rsidRPr="00B570F4">
              <w:rPr>
                <w:rFonts w:cs="Calibri"/>
                <w:i/>
                <w:iCs/>
              </w:rPr>
              <w:t xml:space="preserve"> and</w:t>
            </w:r>
            <w:r w:rsidR="00315131" w:rsidRPr="00B570F4">
              <w:rPr>
                <w:rFonts w:cs="Calibri"/>
                <w:i/>
                <w:iCs/>
              </w:rPr>
              <w:t xml:space="preserve"> legal capacity</w:t>
            </w:r>
          </w:p>
          <w:p w14:paraId="6B32D277" w14:textId="77777777" w:rsidR="00116BC7" w:rsidRPr="00116BC7" w:rsidRDefault="008C20F9" w:rsidP="00116BC7">
            <w:pPr>
              <w:pStyle w:val="ListParagraph"/>
              <w:numPr>
                <w:ilvl w:val="0"/>
                <w:numId w:val="3"/>
              </w:numPr>
              <w:spacing w:after="60" w:line="240" w:lineRule="auto"/>
              <w:ind w:left="351" w:hanging="357"/>
              <w:contextualSpacing w:val="0"/>
              <w:rPr>
                <w:rFonts w:cs="Calibri"/>
                <w:i/>
                <w:iCs/>
                <w:lang w:eastAsia="en-GB"/>
              </w:rPr>
            </w:pPr>
            <w:r w:rsidRPr="00C87B8F">
              <w:rPr>
                <w:rFonts w:cs="Calibri"/>
                <w:b/>
                <w:bCs/>
                <w:lang w:val="en-US" w:eastAsia="en-GB"/>
              </w:rPr>
              <w:t>Ms. Ana Vieitez</w:t>
            </w:r>
            <w:r w:rsidRPr="00C87B8F">
              <w:rPr>
                <w:rFonts w:cs="Calibri"/>
                <w:lang w:val="en-US" w:eastAsia="en-GB"/>
              </w:rPr>
              <w:t>,</w:t>
            </w:r>
            <w:r w:rsidR="007E3112" w:rsidRPr="00737518">
              <w:rPr>
                <w:rFonts w:cs="Calibri"/>
                <w:lang w:val="en-US" w:eastAsia="en-GB"/>
              </w:rPr>
              <w:t xml:space="preserve"> Head of Universal Accessibility</w:t>
            </w:r>
            <w:r w:rsidR="007E3112">
              <w:rPr>
                <w:rFonts w:cs="Calibri"/>
                <w:lang w:val="en-US" w:eastAsia="en-GB"/>
              </w:rPr>
              <w:t xml:space="preserve"> at</w:t>
            </w:r>
            <w:r w:rsidRPr="00C87B8F">
              <w:rPr>
                <w:rFonts w:cs="Calibri"/>
                <w:lang w:val="en-US" w:eastAsia="en-GB"/>
              </w:rPr>
              <w:t xml:space="preserve"> Transports Metropolitans de Barcelona</w:t>
            </w:r>
          </w:p>
          <w:p w14:paraId="557A0368" w14:textId="17C11219" w:rsidR="00DE5624" w:rsidRPr="008C20F9" w:rsidRDefault="001E4CC9" w:rsidP="00116BC7">
            <w:pPr>
              <w:pStyle w:val="ListParagraph"/>
              <w:spacing w:after="120" w:line="240" w:lineRule="auto"/>
              <w:ind w:left="357"/>
              <w:contextualSpacing w:val="0"/>
              <w:rPr>
                <w:rFonts w:cs="Calibri"/>
                <w:i/>
                <w:iCs/>
                <w:lang w:eastAsia="en-GB"/>
              </w:rPr>
            </w:pPr>
            <w:r w:rsidRPr="008C20F9">
              <w:rPr>
                <w:rFonts w:cs="Calibri"/>
                <w:i/>
                <w:iCs/>
                <w:lang w:eastAsia="en-GB"/>
              </w:rPr>
              <w:t>Disability-inclusive transport systems, including point-to-point services, universal design in public transport and economic benefits of accessibility</w:t>
            </w:r>
          </w:p>
          <w:p w14:paraId="599F946F" w14:textId="77777777" w:rsidR="00116BC7" w:rsidRPr="00116BC7" w:rsidRDefault="00736C7C" w:rsidP="00116BC7">
            <w:pPr>
              <w:pStyle w:val="ListParagraph"/>
              <w:numPr>
                <w:ilvl w:val="0"/>
                <w:numId w:val="3"/>
              </w:numPr>
              <w:spacing w:after="60" w:line="240" w:lineRule="auto"/>
              <w:ind w:left="357" w:hanging="357"/>
              <w:contextualSpacing w:val="0"/>
              <w:rPr>
                <w:rFonts w:cs="Calibri"/>
                <w:i/>
                <w:iCs/>
                <w:lang w:eastAsia="en-GB"/>
              </w:rPr>
            </w:pPr>
            <w:r w:rsidRPr="00C87B8F">
              <w:rPr>
                <w:rFonts w:cs="Calibri"/>
                <w:b/>
                <w:bCs/>
                <w:lang w:val="en-US"/>
              </w:rPr>
              <w:t>Ms. Natalia Ángel</w:t>
            </w:r>
            <w:r w:rsidR="007B4776">
              <w:rPr>
                <w:rFonts w:cs="Calibri"/>
                <w:b/>
                <w:bCs/>
                <w:lang w:val="en-US"/>
              </w:rPr>
              <w:t>-</w:t>
            </w:r>
            <w:r w:rsidRPr="00C87B8F">
              <w:rPr>
                <w:rFonts w:cs="Calibri"/>
                <w:b/>
                <w:bCs/>
                <w:lang w:val="en-US"/>
              </w:rPr>
              <w:t>Cabo</w:t>
            </w:r>
            <w:r w:rsidRPr="00C87B8F">
              <w:rPr>
                <w:rFonts w:cs="Calibri"/>
                <w:lang w:val="en-US"/>
              </w:rPr>
              <w:t xml:space="preserve">, </w:t>
            </w:r>
            <w:r w:rsidR="00A42A00">
              <w:rPr>
                <w:rFonts w:cs="Calibri"/>
                <w:lang w:val="en-US"/>
              </w:rPr>
              <w:t>Justice</w:t>
            </w:r>
            <w:r w:rsidR="009E3524" w:rsidRPr="009E3524">
              <w:rPr>
                <w:rFonts w:cs="Calibri"/>
                <w:lang w:val="en-US"/>
              </w:rPr>
              <w:t xml:space="preserve"> of </w:t>
            </w:r>
            <w:r w:rsidR="0094420A">
              <w:rPr>
                <w:rFonts w:cs="Calibri"/>
                <w:lang w:val="en-US"/>
              </w:rPr>
              <w:t xml:space="preserve">the </w:t>
            </w:r>
            <w:r w:rsidRPr="00C87B8F">
              <w:rPr>
                <w:rFonts w:cs="Calibri"/>
                <w:lang w:val="en-US"/>
              </w:rPr>
              <w:t xml:space="preserve">Constitutional Court </w:t>
            </w:r>
            <w:r w:rsidR="00B83883" w:rsidRPr="00C87B8F">
              <w:rPr>
                <w:rFonts w:cs="Calibri"/>
                <w:lang w:val="en-US"/>
              </w:rPr>
              <w:t xml:space="preserve">of </w:t>
            </w:r>
            <w:r w:rsidRPr="00C87B8F">
              <w:rPr>
                <w:rFonts w:cs="Calibri"/>
                <w:lang w:val="en-US"/>
              </w:rPr>
              <w:t>Colombia</w:t>
            </w:r>
            <w:r w:rsidRPr="00C87B8F">
              <w:rPr>
                <w:rFonts w:cs="Calibri"/>
                <w:i/>
                <w:iCs/>
                <w:lang w:val="en-US"/>
              </w:rPr>
              <w:t xml:space="preserve"> </w:t>
            </w:r>
            <w:r w:rsidR="00604350" w:rsidRPr="00604350">
              <w:rPr>
                <w:rFonts w:cs="Calibri"/>
                <w:i/>
                <w:iCs/>
                <w:lang w:val="en-US"/>
              </w:rPr>
              <w:t>(video message)</w:t>
            </w:r>
          </w:p>
          <w:p w14:paraId="1CB0FF85" w14:textId="71F0E3B5" w:rsidR="00DE5624" w:rsidRPr="00417D44" w:rsidRDefault="00796348" w:rsidP="00116BC7">
            <w:pPr>
              <w:pStyle w:val="ListParagraph"/>
              <w:spacing w:after="240" w:line="240" w:lineRule="auto"/>
              <w:ind w:left="360"/>
              <w:rPr>
                <w:rFonts w:cs="Calibri"/>
                <w:i/>
                <w:iCs/>
                <w:lang w:eastAsia="en-GB"/>
              </w:rPr>
            </w:pPr>
            <w:r>
              <w:rPr>
                <w:rFonts w:cs="Calibri"/>
                <w:i/>
                <w:iCs/>
                <w:lang w:eastAsia="en-GB"/>
              </w:rPr>
              <w:t>A</w:t>
            </w:r>
            <w:r w:rsidRPr="00090BFB">
              <w:rPr>
                <w:rFonts w:cs="Calibri"/>
                <w:i/>
                <w:iCs/>
                <w:lang w:eastAsia="en-GB"/>
              </w:rPr>
              <w:t>ccessible housing design</w:t>
            </w:r>
            <w:r>
              <w:rPr>
                <w:rFonts w:cs="Calibri"/>
                <w:i/>
                <w:iCs/>
                <w:lang w:eastAsia="en-GB"/>
              </w:rPr>
              <w:t xml:space="preserve">, </w:t>
            </w:r>
            <w:r w:rsidR="00417D44" w:rsidRPr="00090BFB">
              <w:rPr>
                <w:rFonts w:cs="Calibri"/>
                <w:i/>
                <w:iCs/>
                <w:lang w:eastAsia="en-GB"/>
              </w:rPr>
              <w:t>independent living</w:t>
            </w:r>
            <w:r w:rsidR="00913FC0">
              <w:rPr>
                <w:rFonts w:cs="Calibri"/>
                <w:i/>
                <w:iCs/>
                <w:lang w:eastAsia="en-GB"/>
              </w:rPr>
              <w:t xml:space="preserve"> and</w:t>
            </w:r>
            <w:r w:rsidR="00417D44" w:rsidRPr="00090BFB">
              <w:rPr>
                <w:rFonts w:cs="Calibri"/>
                <w:i/>
                <w:iCs/>
                <w:lang w:eastAsia="en-GB"/>
              </w:rPr>
              <w:t xml:space="preserve"> individualized adjustments </w:t>
            </w:r>
            <w:r w:rsidR="21F32CE5" w:rsidRPr="4D4B0FE2">
              <w:rPr>
                <w:rFonts w:cs="Calibri"/>
                <w:i/>
                <w:iCs/>
                <w:lang w:eastAsia="en-GB"/>
              </w:rPr>
              <w:t xml:space="preserve">as means to prevent and combat </w:t>
            </w:r>
            <w:r w:rsidR="00417D44" w:rsidRPr="4D4B0FE2">
              <w:rPr>
                <w:rFonts w:cs="Calibri"/>
                <w:i/>
                <w:iCs/>
                <w:lang w:eastAsia="en-GB"/>
              </w:rPr>
              <w:t>institutionalization</w:t>
            </w:r>
          </w:p>
        </w:tc>
      </w:tr>
      <w:tr w:rsidR="00775BA2" w:rsidRPr="00DE5624" w14:paraId="65423461" w14:textId="77777777" w:rsidTr="291FEDAC">
        <w:tc>
          <w:tcPr>
            <w:tcW w:w="1450" w:type="dxa"/>
          </w:tcPr>
          <w:p w14:paraId="522D949A" w14:textId="309DA46C" w:rsidR="00775BA2" w:rsidRPr="00DE5624" w:rsidRDefault="00775BA2" w:rsidP="00BB14ED">
            <w:pPr>
              <w:spacing w:after="0" w:line="240" w:lineRule="auto"/>
              <w:rPr>
                <w:rFonts w:cs="Calibri"/>
                <w:b/>
              </w:rPr>
            </w:pPr>
            <w:r w:rsidRPr="00DE5624">
              <w:rPr>
                <w:rFonts w:cs="Calibri"/>
                <w:b/>
              </w:rPr>
              <w:t>Outcome:</w:t>
            </w:r>
          </w:p>
        </w:tc>
        <w:tc>
          <w:tcPr>
            <w:tcW w:w="8756" w:type="dxa"/>
          </w:tcPr>
          <w:p w14:paraId="39AAB72E" w14:textId="38C6BC96" w:rsidR="00775BA2" w:rsidRPr="00E04144" w:rsidRDefault="00A448E8" w:rsidP="00A37735">
            <w:pPr>
              <w:pStyle w:val="NoSpacing"/>
              <w:spacing w:after="120"/>
              <w:jc w:val="both"/>
              <w:rPr>
                <w:rFonts w:cs="Calibri"/>
                <w:lang w:val="en-US"/>
              </w:rPr>
            </w:pPr>
            <w:r w:rsidRPr="00A448E8">
              <w:rPr>
                <w:rFonts w:cs="Calibri"/>
              </w:rPr>
              <w:t>This year’s annual interactive debate builds on the</w:t>
            </w:r>
            <w:r w:rsidR="00A25EED">
              <w:rPr>
                <w:rFonts w:cs="Calibri"/>
              </w:rPr>
              <w:t xml:space="preserve"> 2023,</w:t>
            </w:r>
            <w:r w:rsidRPr="00A448E8">
              <w:rPr>
                <w:rFonts w:cs="Calibri"/>
              </w:rPr>
              <w:t xml:space="preserve"> 2024 and 2025 debates on the rights of persons with disabilities, which introduced a systems approach to care and support</w:t>
            </w:r>
            <w:r>
              <w:rPr>
                <w:rFonts w:cs="Calibri"/>
              </w:rPr>
              <w:t xml:space="preserve">, </w:t>
            </w:r>
            <w:r w:rsidRPr="00A448E8">
              <w:rPr>
                <w:rFonts w:cs="Calibri"/>
              </w:rPr>
              <w:t xml:space="preserve">drawing from evolving frameworks in </w:t>
            </w:r>
            <w:r w:rsidR="000319C4">
              <w:rPr>
                <w:rFonts w:cs="Calibri"/>
              </w:rPr>
              <w:t xml:space="preserve">discussions on </w:t>
            </w:r>
            <w:r w:rsidR="078F33A1" w:rsidRPr="4D4B0FE2">
              <w:rPr>
                <w:rFonts w:cs="Calibri"/>
              </w:rPr>
              <w:t xml:space="preserve">comprehensive </w:t>
            </w:r>
            <w:r w:rsidRPr="4D4B0FE2">
              <w:rPr>
                <w:rFonts w:cs="Calibri"/>
              </w:rPr>
              <w:t xml:space="preserve">care and support </w:t>
            </w:r>
            <w:r w:rsidR="076DBB32" w:rsidRPr="4D4B0FE2">
              <w:rPr>
                <w:rFonts w:cs="Calibri"/>
              </w:rPr>
              <w:t>systems</w:t>
            </w:r>
            <w:r w:rsidRPr="00A448E8">
              <w:rPr>
                <w:rFonts w:cs="Calibri"/>
              </w:rPr>
              <w:t>.</w:t>
            </w:r>
            <w:r>
              <w:rPr>
                <w:rFonts w:cs="Calibri"/>
              </w:rPr>
              <w:t xml:space="preserve"> </w:t>
            </w:r>
            <w:r w:rsidR="00A04E28" w:rsidRPr="00A04E28">
              <w:rPr>
                <w:rFonts w:cs="Calibri"/>
              </w:rPr>
              <w:t>The debate will underscore the role of</w:t>
            </w:r>
            <w:r w:rsidR="00453E40" w:rsidRPr="00453E40">
              <w:rPr>
                <w:rFonts w:cs="Calibri"/>
                <w:lang w:val="en-US"/>
              </w:rPr>
              <w:t xml:space="preserve"> </w:t>
            </w:r>
            <w:r w:rsidR="00453E40">
              <w:rPr>
                <w:rFonts w:cs="Calibri"/>
                <w:lang w:val="en-US"/>
              </w:rPr>
              <w:t>infrastructure, including</w:t>
            </w:r>
            <w:r w:rsidR="00A04E28" w:rsidRPr="00A04E28">
              <w:rPr>
                <w:rFonts w:cs="Calibri"/>
              </w:rPr>
              <w:t xml:space="preserve"> transport and housing</w:t>
            </w:r>
            <w:r w:rsidR="00453E40" w:rsidRPr="00453E40">
              <w:rPr>
                <w:rFonts w:cs="Calibri"/>
                <w:lang w:val="en-US"/>
              </w:rPr>
              <w:t>,</w:t>
            </w:r>
            <w:r w:rsidR="00A04E28" w:rsidRPr="00A04E28">
              <w:rPr>
                <w:rFonts w:cs="Calibri"/>
              </w:rPr>
              <w:t xml:space="preserve"> as structural enablers of autonomy, equality and inclusion for persons with disabilities.</w:t>
            </w:r>
            <w:r w:rsidR="00A04E28" w:rsidRPr="00A04E28">
              <w:rPr>
                <w:rFonts w:cs="Calibri"/>
                <w:lang w:val="en-US"/>
              </w:rPr>
              <w:t xml:space="preserve"> </w:t>
            </w:r>
            <w:r w:rsidR="00A04E28" w:rsidRPr="00A04E28">
              <w:rPr>
                <w:rFonts w:cs="Calibri"/>
              </w:rPr>
              <w:t xml:space="preserve">It will explore how </w:t>
            </w:r>
            <w:r w:rsidR="00DB1F24">
              <w:rPr>
                <w:rFonts w:cs="Calibri"/>
              </w:rPr>
              <w:t xml:space="preserve">accessible </w:t>
            </w:r>
            <w:r w:rsidR="00A04E28" w:rsidRPr="00A04E28">
              <w:rPr>
                <w:rFonts w:cs="Calibri"/>
              </w:rPr>
              <w:t>infrastructure</w:t>
            </w:r>
            <w:r w:rsidR="00453E40" w:rsidRPr="00453E40">
              <w:rPr>
                <w:rFonts w:cs="Calibri"/>
                <w:lang w:val="en-US"/>
              </w:rPr>
              <w:t>,</w:t>
            </w:r>
            <w:r w:rsidR="00453E40">
              <w:rPr>
                <w:rFonts w:cs="Calibri"/>
                <w:lang w:val="en-US"/>
              </w:rPr>
              <w:t xml:space="preserve"> including </w:t>
            </w:r>
            <w:r w:rsidR="00A04E28" w:rsidRPr="00A04E28">
              <w:rPr>
                <w:rFonts w:cs="Calibri"/>
              </w:rPr>
              <w:t>point-to-point transport services and individualized housing adjustments</w:t>
            </w:r>
            <w:r w:rsidR="00453E40" w:rsidRPr="00453E40">
              <w:rPr>
                <w:rFonts w:cs="Calibri"/>
                <w:lang w:val="en-US"/>
              </w:rPr>
              <w:t xml:space="preserve">, </w:t>
            </w:r>
            <w:r w:rsidR="00A04E28" w:rsidRPr="00A04E28">
              <w:rPr>
                <w:rFonts w:cs="Calibri"/>
              </w:rPr>
              <w:t>can reduce over-reliance on unpaid</w:t>
            </w:r>
            <w:r w:rsidR="00DF44DE">
              <w:rPr>
                <w:rFonts w:cs="Calibri"/>
              </w:rPr>
              <w:t xml:space="preserve"> labour-intensive</w:t>
            </w:r>
            <w:r w:rsidR="00A04E28" w:rsidRPr="00A04E28">
              <w:rPr>
                <w:rFonts w:cs="Calibri"/>
              </w:rPr>
              <w:t xml:space="preserve"> care </w:t>
            </w:r>
            <w:r w:rsidR="494DA771" w:rsidRPr="4D4B0FE2">
              <w:rPr>
                <w:rFonts w:cs="Calibri"/>
              </w:rPr>
              <w:t>and support</w:t>
            </w:r>
            <w:r w:rsidR="00DF44DE">
              <w:rPr>
                <w:rFonts w:cs="Calibri"/>
              </w:rPr>
              <w:t xml:space="preserve"> </w:t>
            </w:r>
            <w:r w:rsidR="00C95381">
              <w:rPr>
                <w:rFonts w:cs="Calibri"/>
              </w:rPr>
              <w:t>giving</w:t>
            </w:r>
            <w:r w:rsidR="00A04E28" w:rsidRPr="00A04E28">
              <w:rPr>
                <w:rFonts w:cs="Calibri"/>
              </w:rPr>
              <w:t xml:space="preserve">, and </w:t>
            </w:r>
            <w:r w:rsidR="004C3743">
              <w:rPr>
                <w:rFonts w:cs="Calibri"/>
              </w:rPr>
              <w:t>improve</w:t>
            </w:r>
            <w:r w:rsidR="004C3743" w:rsidRPr="00A04E28">
              <w:rPr>
                <w:rFonts w:cs="Calibri"/>
              </w:rPr>
              <w:t xml:space="preserve"> </w:t>
            </w:r>
            <w:r w:rsidR="00A04E28" w:rsidRPr="00A04E28">
              <w:rPr>
                <w:rFonts w:cs="Calibri"/>
              </w:rPr>
              <w:t>independent living</w:t>
            </w:r>
            <w:r w:rsidR="00B057C8">
              <w:rPr>
                <w:rFonts w:cs="Calibri"/>
              </w:rPr>
              <w:t xml:space="preserve"> and </w:t>
            </w:r>
            <w:r w:rsidR="0040297F">
              <w:rPr>
                <w:rFonts w:cs="Calibri"/>
              </w:rPr>
              <w:t>decent work for paid care and support workers</w:t>
            </w:r>
            <w:r w:rsidR="00A04E28" w:rsidRPr="00A04E28">
              <w:rPr>
                <w:rFonts w:cs="Calibri"/>
              </w:rPr>
              <w:t xml:space="preserve">. The panel </w:t>
            </w:r>
            <w:r w:rsidR="009A6C26">
              <w:rPr>
                <w:rFonts w:cs="Calibri"/>
              </w:rPr>
              <w:t xml:space="preserve">discussion </w:t>
            </w:r>
            <w:r w:rsidR="00A04E28" w:rsidRPr="00A04E28">
              <w:rPr>
                <w:rFonts w:cs="Calibri"/>
              </w:rPr>
              <w:t>will also address systemic barriers and territorial inequalities, including in rural and informal settings, and propose strategies for equitable investment and planning.</w:t>
            </w:r>
            <w:r w:rsidR="00A04E28" w:rsidRPr="00A04E28">
              <w:rPr>
                <w:rFonts w:cs="Calibri"/>
                <w:lang w:val="en-US"/>
              </w:rPr>
              <w:t xml:space="preserve"> </w:t>
            </w:r>
            <w:r w:rsidR="00A04E28" w:rsidRPr="00A04E28">
              <w:rPr>
                <w:rFonts w:cs="Calibri"/>
              </w:rPr>
              <w:t xml:space="preserve">Finally, the debate will emphasize the importance of participatory governance with persons with disabilities and their representative organizations, advocating for integrated approaches that align </w:t>
            </w:r>
            <w:r w:rsidR="00A04E28" w:rsidRPr="00A04E28">
              <w:rPr>
                <w:rFonts w:cs="Calibri"/>
              </w:rPr>
              <w:lastRenderedPageBreak/>
              <w:t xml:space="preserve">infrastructure development with human rights obligations under the </w:t>
            </w:r>
            <w:r w:rsidR="00183AA5" w:rsidRPr="00183AA5">
              <w:rPr>
                <w:rFonts w:cs="Calibri"/>
              </w:rPr>
              <w:t>Convention on the Rights of Persons with Disabilities</w:t>
            </w:r>
            <w:r w:rsidR="00183AA5">
              <w:rPr>
                <w:rFonts w:cs="Calibri"/>
              </w:rPr>
              <w:t xml:space="preserve"> (</w:t>
            </w:r>
            <w:r w:rsidR="00A04E28" w:rsidRPr="00A04E28">
              <w:rPr>
                <w:rFonts w:cs="Calibri"/>
              </w:rPr>
              <w:t>CRPD</w:t>
            </w:r>
            <w:r w:rsidR="00183AA5">
              <w:rPr>
                <w:rFonts w:cs="Calibri"/>
              </w:rPr>
              <w:t>)</w:t>
            </w:r>
            <w:r w:rsidR="00A04E28" w:rsidRPr="00A04E28">
              <w:rPr>
                <w:rFonts w:cs="Calibri"/>
              </w:rPr>
              <w:t xml:space="preserve"> and the Sustainable Development Goals.</w:t>
            </w:r>
          </w:p>
        </w:tc>
      </w:tr>
      <w:tr w:rsidR="005D7A72" w:rsidRPr="00DE5624" w14:paraId="4481E64F" w14:textId="77777777" w:rsidTr="291FEDAC">
        <w:tc>
          <w:tcPr>
            <w:tcW w:w="1450" w:type="dxa"/>
          </w:tcPr>
          <w:p w14:paraId="5FB53F9A" w14:textId="3C952DA9" w:rsidR="005D7A72" w:rsidRPr="00DE5624" w:rsidRDefault="005D7A72" w:rsidP="00BB14ED">
            <w:pPr>
              <w:spacing w:after="0" w:line="240" w:lineRule="auto"/>
              <w:rPr>
                <w:rFonts w:cs="Calibri"/>
                <w:b/>
              </w:rPr>
            </w:pPr>
            <w:r>
              <w:rPr>
                <w:rFonts w:cs="Calibri"/>
                <w:b/>
              </w:rPr>
              <w:lastRenderedPageBreak/>
              <w:t>Mandate:</w:t>
            </w:r>
          </w:p>
        </w:tc>
        <w:tc>
          <w:tcPr>
            <w:tcW w:w="8756" w:type="dxa"/>
          </w:tcPr>
          <w:p w14:paraId="3D92DEC9" w14:textId="414DD054" w:rsidR="00666478" w:rsidRPr="00DE5624" w:rsidRDefault="00666478" w:rsidP="00D22057">
            <w:pPr>
              <w:spacing w:after="120" w:line="240" w:lineRule="auto"/>
              <w:jc w:val="both"/>
              <w:rPr>
                <w:rFonts w:cs="Calibri"/>
              </w:rPr>
            </w:pPr>
            <w:r w:rsidRPr="00DE5624">
              <w:rPr>
                <w:rFonts w:cs="Calibri"/>
              </w:rPr>
              <w:t xml:space="preserve">In its resolution </w:t>
            </w:r>
            <w:hyperlink r:id="rId12" w:history="1">
              <w:r w:rsidRPr="00486A39">
                <w:rPr>
                  <w:rStyle w:val="Hyperlink"/>
                  <w:rFonts w:cs="Calibri"/>
                </w:rPr>
                <w:t>55/8</w:t>
              </w:r>
            </w:hyperlink>
            <w:r w:rsidRPr="00DE5624">
              <w:rPr>
                <w:rFonts w:cs="Calibri"/>
              </w:rPr>
              <w:t xml:space="preserve">, the Human Rights Council decided that the annual interactive debate on the rights of persons with disabilities to be held at its </w:t>
            </w:r>
            <w:r w:rsidR="00034EB1">
              <w:rPr>
                <w:rFonts w:cs="Calibri"/>
              </w:rPr>
              <w:t>sixty-first</w:t>
            </w:r>
            <w:r w:rsidRPr="00DE5624">
              <w:rPr>
                <w:rFonts w:cs="Calibri"/>
              </w:rPr>
              <w:t xml:space="preserve"> session would focus on </w:t>
            </w:r>
            <w:r w:rsidR="00241908" w:rsidRPr="00241908">
              <w:rPr>
                <w:rFonts w:cs="Calibri"/>
              </w:rPr>
              <w:t>disability-inclusive infrastructure, including transport and housing,</w:t>
            </w:r>
            <w:r w:rsidRPr="00DE5624">
              <w:rPr>
                <w:rFonts w:cs="Calibri"/>
              </w:rPr>
              <w:t xml:space="preserve"> and would have international sign interpretation and captioning. The Council requested </w:t>
            </w:r>
            <w:r w:rsidR="00B04929">
              <w:rPr>
                <w:rFonts w:cs="Calibri"/>
              </w:rPr>
              <w:t>the Office of the United Nations High Commissioner for Human Rights (</w:t>
            </w:r>
            <w:r w:rsidRPr="00DE5624">
              <w:rPr>
                <w:rFonts w:cs="Calibri"/>
              </w:rPr>
              <w:t>OHCHR</w:t>
            </w:r>
            <w:r w:rsidR="00B04929">
              <w:rPr>
                <w:rFonts w:cs="Calibri"/>
              </w:rPr>
              <w:t>)</w:t>
            </w:r>
            <w:r w:rsidRPr="00DE5624">
              <w:rPr>
                <w:rFonts w:cs="Calibri"/>
              </w:rPr>
              <w:t xml:space="preserve"> to prepare its next annual thematic study on </w:t>
            </w:r>
            <w:r w:rsidR="00D22057" w:rsidRPr="00D22057">
              <w:rPr>
                <w:rFonts w:cs="Calibri"/>
              </w:rPr>
              <w:t>disability-inclusive infrastructure, including transport and housing</w:t>
            </w:r>
            <w:r w:rsidRPr="00DE5624">
              <w:rPr>
                <w:rFonts w:cs="Calibri"/>
              </w:rPr>
              <w:t>, in consultation with States and other relevant stakeholders, regional organizations, the Special Rapporteur on the rights of persons with disabilities and other relevant special procedure mandate holders, civil society organizations, including organizations of persons with disabilities, and national human rights institutions, requiring contributions to be submitted in an accessible format, and request</w:t>
            </w:r>
            <w:r>
              <w:rPr>
                <w:rFonts w:cs="Calibri"/>
              </w:rPr>
              <w:t>ed</w:t>
            </w:r>
            <w:r w:rsidRPr="00DE5624">
              <w:rPr>
                <w:rFonts w:cs="Calibri"/>
              </w:rPr>
              <w:t xml:space="preserve"> that such stakeholder contributions, the stud</w:t>
            </w:r>
            <w:r w:rsidR="007314A9">
              <w:rPr>
                <w:rFonts w:cs="Calibri"/>
              </w:rPr>
              <w:t>y</w:t>
            </w:r>
            <w:r w:rsidRPr="00DE5624">
              <w:rPr>
                <w:rFonts w:cs="Calibri"/>
              </w:rPr>
              <w:t xml:space="preserve"> </w:t>
            </w:r>
            <w:r w:rsidR="007314A9">
              <w:rPr>
                <w:rFonts w:cs="Calibri"/>
              </w:rPr>
              <w:t>itself</w:t>
            </w:r>
            <w:r w:rsidRPr="00DE5624">
              <w:rPr>
                <w:rFonts w:cs="Calibri"/>
              </w:rPr>
              <w:t xml:space="preserve"> and an easy-to-read-version of </w:t>
            </w:r>
            <w:r w:rsidR="003B6B70">
              <w:rPr>
                <w:rFonts w:cs="Calibri"/>
              </w:rPr>
              <w:t>it</w:t>
            </w:r>
            <w:r w:rsidRPr="00DE5624">
              <w:rPr>
                <w:rFonts w:cs="Calibri"/>
              </w:rPr>
              <w:t xml:space="preserve"> be made available on the website of the Office, in an accessible format.</w:t>
            </w:r>
          </w:p>
          <w:p w14:paraId="4755E012" w14:textId="506F3162" w:rsidR="005D7A72" w:rsidRPr="00DE5624" w:rsidRDefault="00666478" w:rsidP="006163E9">
            <w:pPr>
              <w:pStyle w:val="NoSpacing"/>
              <w:spacing w:after="120"/>
              <w:jc w:val="both"/>
              <w:rPr>
                <w:rFonts w:cs="Calibri"/>
              </w:rPr>
            </w:pPr>
            <w:r w:rsidRPr="00DE5624">
              <w:rPr>
                <w:rFonts w:cs="Calibri"/>
              </w:rPr>
              <w:t xml:space="preserve">To this end, OHCHR invited States and all the </w:t>
            </w:r>
            <w:proofErr w:type="gramStart"/>
            <w:r w:rsidRPr="00DE5624">
              <w:rPr>
                <w:rFonts w:cs="Calibri"/>
              </w:rPr>
              <w:t>aforementioned stakeholders</w:t>
            </w:r>
            <w:proofErr w:type="gramEnd"/>
            <w:r w:rsidRPr="00DE5624">
              <w:rPr>
                <w:rFonts w:cs="Calibri"/>
              </w:rPr>
              <w:t xml:space="preserve"> to provide responses to a set of questions concerning the rights of persons with disabilities and </w:t>
            </w:r>
            <w:r w:rsidR="006650B4">
              <w:rPr>
                <w:rFonts w:cs="Calibri"/>
              </w:rPr>
              <w:t>infrastructure, including transportation and housing</w:t>
            </w:r>
            <w:r w:rsidRPr="00DE5624">
              <w:rPr>
                <w:rFonts w:cs="Calibri"/>
              </w:rPr>
              <w:t xml:space="preserve">. </w:t>
            </w:r>
            <w:r w:rsidR="006163E9" w:rsidRPr="006163E9">
              <w:rPr>
                <w:rFonts w:cs="Calibri"/>
              </w:rPr>
              <w:t>OHCHR received 4</w:t>
            </w:r>
            <w:r w:rsidR="00CC5715">
              <w:rPr>
                <w:rFonts w:cs="Calibri"/>
              </w:rPr>
              <w:t>5</w:t>
            </w:r>
            <w:r w:rsidR="006163E9" w:rsidRPr="006163E9">
              <w:rPr>
                <w:rFonts w:cs="Calibri"/>
              </w:rPr>
              <w:t xml:space="preserve"> responses from States and </w:t>
            </w:r>
            <w:r w:rsidR="00847EA5">
              <w:rPr>
                <w:rFonts w:cs="Calibri"/>
              </w:rPr>
              <w:t>n</w:t>
            </w:r>
            <w:r w:rsidR="006163E9" w:rsidRPr="006163E9">
              <w:rPr>
                <w:rFonts w:cs="Calibri"/>
              </w:rPr>
              <w:t xml:space="preserve">ational </w:t>
            </w:r>
            <w:r w:rsidR="009453C9">
              <w:rPr>
                <w:rFonts w:cs="Calibri"/>
              </w:rPr>
              <w:t>h</w:t>
            </w:r>
            <w:r w:rsidR="006163E9" w:rsidRPr="006163E9">
              <w:rPr>
                <w:rFonts w:cs="Calibri"/>
              </w:rPr>
              <w:t xml:space="preserve">uman </w:t>
            </w:r>
            <w:r w:rsidR="009453C9">
              <w:rPr>
                <w:rFonts w:cs="Calibri"/>
              </w:rPr>
              <w:t>r</w:t>
            </w:r>
            <w:r w:rsidR="006163E9" w:rsidRPr="006163E9">
              <w:rPr>
                <w:rFonts w:cs="Calibri"/>
              </w:rPr>
              <w:t xml:space="preserve">ights </w:t>
            </w:r>
            <w:r w:rsidR="009453C9">
              <w:rPr>
                <w:rFonts w:cs="Calibri"/>
              </w:rPr>
              <w:t>i</w:t>
            </w:r>
            <w:r w:rsidR="006163E9" w:rsidRPr="006163E9">
              <w:rPr>
                <w:rFonts w:cs="Calibri"/>
              </w:rPr>
              <w:t>nstitutions and 28 responses from civil society organizations and other stakeholders</w:t>
            </w:r>
            <w:r w:rsidRPr="00DE5624">
              <w:rPr>
                <w:rFonts w:cs="Calibri"/>
              </w:rPr>
              <w:t>.</w:t>
            </w:r>
            <w:r w:rsidRPr="00DE5624">
              <w:rPr>
                <w:rFonts w:cs="Calibri"/>
                <w:vertAlign w:val="superscript"/>
              </w:rPr>
              <w:footnoteReference w:id="2"/>
            </w:r>
            <w:r>
              <w:rPr>
                <w:rFonts w:cs="Calibri"/>
              </w:rPr>
              <w:t xml:space="preserve"> </w:t>
            </w:r>
            <w:r w:rsidRPr="00DE5624">
              <w:rPr>
                <w:rFonts w:cs="Calibri"/>
              </w:rPr>
              <w:t xml:space="preserve">These responses informed the report of OHCHR on the rights of persons with disabilities and </w:t>
            </w:r>
            <w:r w:rsidR="00BB13A0">
              <w:rPr>
                <w:rFonts w:cs="Calibri"/>
              </w:rPr>
              <w:t xml:space="preserve">disability-inclusive infrastructure, including </w:t>
            </w:r>
            <w:r w:rsidR="009D2B9D">
              <w:rPr>
                <w:rFonts w:cs="Calibri"/>
              </w:rPr>
              <w:t>transportation and housing</w:t>
            </w:r>
            <w:r w:rsidRPr="00DE5624">
              <w:rPr>
                <w:rFonts w:cs="Calibri"/>
              </w:rPr>
              <w:t xml:space="preserve"> (</w:t>
            </w:r>
            <w:r w:rsidRPr="00EA47ED">
              <w:rPr>
                <w:rFonts w:cs="Calibri"/>
              </w:rPr>
              <w:t>A/HRC/</w:t>
            </w:r>
            <w:r w:rsidR="009D2B9D">
              <w:rPr>
                <w:rFonts w:cs="Calibri"/>
              </w:rPr>
              <w:t>61</w:t>
            </w:r>
            <w:r w:rsidRPr="0088770B">
              <w:rPr>
                <w:rFonts w:cs="Calibri"/>
              </w:rPr>
              <w:t>/</w:t>
            </w:r>
            <w:r w:rsidR="003F1689" w:rsidRPr="0088770B">
              <w:rPr>
                <w:rFonts w:cs="Calibri"/>
              </w:rPr>
              <w:t>32</w:t>
            </w:r>
            <w:r w:rsidRPr="0088770B">
              <w:rPr>
                <w:rFonts w:cs="Calibri"/>
              </w:rPr>
              <w:t>).</w:t>
            </w:r>
          </w:p>
        </w:tc>
      </w:tr>
      <w:tr w:rsidR="00116E65" w:rsidRPr="00DE5624" w14:paraId="7B281CDC" w14:textId="77777777" w:rsidTr="291FEDAC">
        <w:tc>
          <w:tcPr>
            <w:tcW w:w="1450" w:type="dxa"/>
          </w:tcPr>
          <w:p w14:paraId="195F39B4" w14:textId="3BDB9F0E" w:rsidR="00116E65" w:rsidRPr="00DE5624" w:rsidRDefault="00116E65" w:rsidP="00BB14ED">
            <w:pPr>
              <w:spacing w:after="0" w:line="240" w:lineRule="auto"/>
              <w:rPr>
                <w:rFonts w:cs="Calibri"/>
                <w:b/>
              </w:rPr>
            </w:pPr>
            <w:r>
              <w:rPr>
                <w:rFonts w:cs="Calibri"/>
                <w:b/>
              </w:rPr>
              <w:t>Background</w:t>
            </w:r>
            <w:r w:rsidRPr="00DE5624">
              <w:rPr>
                <w:rFonts w:cs="Calibri"/>
                <w:b/>
              </w:rPr>
              <w:t>:</w:t>
            </w:r>
          </w:p>
        </w:tc>
        <w:tc>
          <w:tcPr>
            <w:tcW w:w="8756" w:type="dxa"/>
          </w:tcPr>
          <w:p w14:paraId="33023027" w14:textId="3BC90D8C" w:rsidR="00FD6A49" w:rsidRPr="00FD6A49" w:rsidRDefault="00116E65" w:rsidP="00FD6A49">
            <w:pPr>
              <w:spacing w:after="120" w:line="240" w:lineRule="auto"/>
              <w:jc w:val="both"/>
            </w:pPr>
            <w:r w:rsidRPr="2BA9FA28">
              <w:rPr>
                <w:lang w:val="en-US"/>
              </w:rPr>
              <w:t xml:space="preserve">Building on its efforts in promoting human rights-based care and support systems, </w:t>
            </w:r>
            <w:r w:rsidR="005B3FDB">
              <w:rPr>
                <w:lang w:val="en-US"/>
              </w:rPr>
              <w:t xml:space="preserve">OHCHR </w:t>
            </w:r>
            <w:r w:rsidRPr="2BA9FA28">
              <w:rPr>
                <w:lang w:val="en-US"/>
              </w:rPr>
              <w:t xml:space="preserve">explores the role of </w:t>
            </w:r>
            <w:r w:rsidR="009D2B9D">
              <w:rPr>
                <w:rFonts w:cs="Calibri"/>
              </w:rPr>
              <w:t>disability-inclusive infrastructure, including transportation and housing</w:t>
            </w:r>
            <w:r w:rsidR="008C755C">
              <w:rPr>
                <w:rFonts w:cs="Calibri"/>
              </w:rPr>
              <w:t>,</w:t>
            </w:r>
            <w:r w:rsidRPr="2BA9FA28">
              <w:rPr>
                <w:lang w:val="en-US"/>
              </w:rPr>
              <w:t xml:space="preserve"> as essential components of these systems</w:t>
            </w:r>
            <w:r w:rsidR="00FD6A49">
              <w:rPr>
                <w:lang w:val="en-US"/>
              </w:rPr>
              <w:t xml:space="preserve">. </w:t>
            </w:r>
            <w:r w:rsidR="00FD6A49" w:rsidRPr="00FD6A49">
              <w:t>Inclusive infrastructure is not merely a technical concern but a structural enabler of autonomy, dignity and independent living for persons with disabilities. Accessible transport and housing reduce over-reliance on third-party support and unpaid care work and are critical to ensuring full participation in community life.</w:t>
            </w:r>
          </w:p>
          <w:p w14:paraId="75FE162A" w14:textId="1B718B75" w:rsidR="00FD6A49" w:rsidRPr="00FD6A49" w:rsidRDefault="00BC6745" w:rsidP="00FD6A49">
            <w:pPr>
              <w:spacing w:after="120" w:line="240" w:lineRule="auto"/>
              <w:jc w:val="both"/>
            </w:pPr>
            <w:r w:rsidRPr="00BC6745">
              <w:t xml:space="preserve">The OHCHR report mandated </w:t>
            </w:r>
            <w:r w:rsidR="000F2A82">
              <w:t>in</w:t>
            </w:r>
            <w:r w:rsidRPr="00BC6745">
              <w:t xml:space="preserve"> Human Rights Council resolution 55/8 </w:t>
            </w:r>
            <w:r w:rsidR="00A95834" w:rsidRPr="002A12FE">
              <w:rPr>
                <w:lang w:val="en-US"/>
              </w:rPr>
              <w:t>provides a comprehensive human rights analysis of disability-inclusive infrastructure, focusing specifically on transport and housing, and examines their intersection with the right to live independently and be included in the community.</w:t>
            </w:r>
            <w:r w:rsidRPr="00BC6745">
              <w:t xml:space="preserve"> It underscores the urgent need to improve point-to-point transport services and ensure individualized housing adjustments, as these remain underregulated and underfunded yet are essential for independent living and reducing reliance on third-party support</w:t>
            </w:r>
            <w:r w:rsidR="00FD6A49" w:rsidRPr="00FD6A49">
              <w:t>.</w:t>
            </w:r>
          </w:p>
          <w:p w14:paraId="2FA54CD5" w14:textId="45101415" w:rsidR="00FD6A49" w:rsidRPr="00FD6A49" w:rsidRDefault="00FD6A49" w:rsidP="00FD6A49">
            <w:pPr>
              <w:spacing w:after="120" w:line="240" w:lineRule="auto"/>
              <w:jc w:val="both"/>
            </w:pPr>
            <w:r w:rsidRPr="00FD6A49">
              <w:t>The report also emphasizes the interdependence between infrastructure and care and support systems. Accessible environments enhance the effectiveness of support services, while inclusive infrastructure</w:t>
            </w:r>
            <w:r w:rsidR="00BD2F06">
              <w:t xml:space="preserve">, </w:t>
            </w:r>
            <w:r w:rsidRPr="00FD6A49">
              <w:t>when co-designed with persons with disabilities and their representative organizations</w:t>
            </w:r>
            <w:r w:rsidR="00BD2F06">
              <w:t xml:space="preserve">, </w:t>
            </w:r>
            <w:r w:rsidRPr="00FD6A49">
              <w:t>can reduce the time and effort required for caregiving, particularly for women and low-income families.</w:t>
            </w:r>
          </w:p>
          <w:p w14:paraId="1C516F50" w14:textId="6DFFC2D8" w:rsidR="00116E65" w:rsidRPr="004034CA" w:rsidRDefault="00FD6A49" w:rsidP="00042913">
            <w:pPr>
              <w:spacing w:after="120" w:line="240" w:lineRule="auto"/>
              <w:jc w:val="both"/>
              <w:rPr>
                <w:lang w:val="en-US"/>
              </w:rPr>
            </w:pPr>
            <w:r w:rsidRPr="00FD6A49">
              <w:t>Moreover, the report calls for participatory governance, equitable public investment and integrated planning across sectors to ensure that infrastructure development aligns with human rights obligations under the CRPD and the Sustainable Development Goals. Addressing territorial inequalities, including urban-rural gaps and exclusion in informal settlements, is essential to achieving inclusive and sustainable infrastructure for all.</w:t>
            </w:r>
          </w:p>
        </w:tc>
      </w:tr>
      <w:tr w:rsidR="00DE5624" w:rsidRPr="00DE5624" w14:paraId="5B57FBEB" w14:textId="77777777" w:rsidTr="291FEDAC">
        <w:trPr>
          <w:trHeight w:val="80"/>
        </w:trPr>
        <w:tc>
          <w:tcPr>
            <w:tcW w:w="1450" w:type="dxa"/>
          </w:tcPr>
          <w:p w14:paraId="5C37F9FF" w14:textId="77777777" w:rsidR="00DE5624" w:rsidRPr="00DE5624" w:rsidRDefault="00DE5624" w:rsidP="00BB14ED">
            <w:pPr>
              <w:spacing w:after="0" w:line="240" w:lineRule="auto"/>
              <w:rPr>
                <w:rFonts w:cs="Calibri"/>
                <w:b/>
              </w:rPr>
            </w:pPr>
            <w:r w:rsidRPr="00DE5624">
              <w:rPr>
                <w:rFonts w:cs="Calibri"/>
                <w:b/>
              </w:rPr>
              <w:t xml:space="preserve">Format: </w:t>
            </w:r>
          </w:p>
        </w:tc>
        <w:tc>
          <w:tcPr>
            <w:tcW w:w="8756" w:type="dxa"/>
          </w:tcPr>
          <w:p w14:paraId="6A7E9043" w14:textId="55376113" w:rsidR="00DE5624" w:rsidRPr="00DE5624" w:rsidRDefault="00DE5624" w:rsidP="00AF475A">
            <w:pPr>
              <w:spacing w:after="120" w:line="240" w:lineRule="auto"/>
              <w:jc w:val="both"/>
              <w:rPr>
                <w:rFonts w:cs="Calibri"/>
                <w:bCs/>
              </w:rPr>
            </w:pPr>
            <w:r w:rsidRPr="00DE5624">
              <w:rPr>
                <w:rFonts w:cs="Calibri"/>
                <w:bCs/>
              </w:rPr>
              <w:t xml:space="preserve">The annual debate will be limited to two hours. The opening statement and initial presentations by the panellists will be followed by a </w:t>
            </w:r>
            <w:r w:rsidRPr="00DE5624">
              <w:rPr>
                <w:rFonts w:cs="Calibri"/>
              </w:rPr>
              <w:t xml:space="preserve">two-part </w:t>
            </w:r>
            <w:r w:rsidRPr="00DE5624">
              <w:rPr>
                <w:rFonts w:cs="Calibri"/>
                <w:bCs/>
              </w:rPr>
              <w:t xml:space="preserve">interactive discussion </w:t>
            </w:r>
            <w:r w:rsidRPr="00DE5624">
              <w:rPr>
                <w:rFonts w:cs="Calibri"/>
              </w:rPr>
              <w:t>and conclusions from the panellists</w:t>
            </w:r>
            <w:r w:rsidRPr="00DE5624">
              <w:rPr>
                <w:rFonts w:cs="Calibri"/>
                <w:bCs/>
              </w:rPr>
              <w:t xml:space="preserve">. A maximum of one hour will be set aside for the podium, including the opening statement, panellists’ presentations </w:t>
            </w:r>
            <w:r w:rsidR="00806D53">
              <w:rPr>
                <w:rFonts w:cs="Calibri"/>
                <w:bCs/>
              </w:rPr>
              <w:t>guided by a moderator</w:t>
            </w:r>
            <w:r w:rsidR="00806D53" w:rsidRPr="00DE5624">
              <w:rPr>
                <w:rFonts w:cs="Calibri"/>
                <w:bCs/>
              </w:rPr>
              <w:t xml:space="preserve"> </w:t>
            </w:r>
            <w:r w:rsidRPr="00DE5624">
              <w:rPr>
                <w:rFonts w:cs="Calibri"/>
                <w:bCs/>
              </w:rPr>
              <w:t xml:space="preserve">and their responses to questions and concluding remarks. The remaining hour will be reserved for two segments of interventions from the floor, with each segment consisting of interventions from 14 States or observers, 2 national human rights institutions and 4 non-governmental organizations. Each speaker will have 1.5 </w:t>
            </w:r>
            <w:r w:rsidRPr="00DE5624">
              <w:rPr>
                <w:rFonts w:cs="Calibri"/>
                <w:bCs/>
              </w:rPr>
              <w:lastRenderedPageBreak/>
              <w:t>minutes to raise issues and to ask panellists questions. Panellists will respond to questions and comments during the remaining time available.</w:t>
            </w:r>
          </w:p>
          <w:p w14:paraId="1471585F" w14:textId="78871DCB" w:rsidR="00DE5624" w:rsidRPr="00DE5624" w:rsidRDefault="00DE5624" w:rsidP="00F9036E">
            <w:pPr>
              <w:spacing w:after="120" w:line="240" w:lineRule="auto"/>
              <w:jc w:val="both"/>
              <w:rPr>
                <w:rFonts w:cs="Calibri"/>
                <w:bCs/>
              </w:rPr>
            </w:pPr>
            <w:r w:rsidRPr="00DE5624">
              <w:rPr>
                <w:rFonts w:cs="Calibri"/>
              </w:rPr>
              <w:t>The list of speakers for the discussion will be established through the online inscription system and, as per practice, statements by high-level dignitaries and groups of States will be moved to the beginning of the list. Delegates unable to take the floor due to time constraints will be able to upload their statements on the online system to be posted on the HRC Extranet.</w:t>
            </w:r>
            <w:r w:rsidR="00F9036E">
              <w:rPr>
                <w:rFonts w:cs="Calibri"/>
              </w:rPr>
              <w:t xml:space="preserve"> </w:t>
            </w:r>
            <w:r w:rsidR="00F9036E" w:rsidRPr="00F9036E">
              <w:rPr>
                <w:rFonts w:cs="Calibri"/>
              </w:rPr>
              <w:t>Interpretation will be provided in the six United Nations official languages (Arabic, Chinese, English, French, Russian and Spanish)</w:t>
            </w:r>
            <w:r w:rsidR="00F9036E">
              <w:rPr>
                <w:rFonts w:cs="Calibri"/>
              </w:rPr>
              <w:t>.</w:t>
            </w:r>
          </w:p>
        </w:tc>
      </w:tr>
      <w:tr w:rsidR="00DE5624" w:rsidRPr="00DE5624" w14:paraId="4AF4C17A" w14:textId="77777777" w:rsidTr="291FEDAC">
        <w:tc>
          <w:tcPr>
            <w:tcW w:w="1450" w:type="dxa"/>
          </w:tcPr>
          <w:p w14:paraId="5968442E" w14:textId="77777777" w:rsidR="00DE5624" w:rsidRPr="00DE5624" w:rsidRDefault="00DE5624" w:rsidP="00BB14ED">
            <w:pPr>
              <w:spacing w:after="0" w:line="240" w:lineRule="auto"/>
              <w:rPr>
                <w:rFonts w:cs="Calibri"/>
                <w:b/>
                <w:bCs/>
              </w:rPr>
            </w:pPr>
            <w:r w:rsidRPr="00DE5624">
              <w:rPr>
                <w:rFonts w:cs="Calibri"/>
                <w:b/>
                <w:bCs/>
              </w:rPr>
              <w:lastRenderedPageBreak/>
              <w:t>Accessibility:</w:t>
            </w:r>
          </w:p>
        </w:tc>
        <w:tc>
          <w:tcPr>
            <w:tcW w:w="8756" w:type="dxa"/>
          </w:tcPr>
          <w:p w14:paraId="100C8270" w14:textId="77777777" w:rsidR="00DE5624" w:rsidRPr="00DE5624" w:rsidRDefault="00DE5624" w:rsidP="00AF475A">
            <w:pPr>
              <w:spacing w:after="120" w:line="240" w:lineRule="auto"/>
              <w:jc w:val="both"/>
              <w:rPr>
                <w:rFonts w:cs="Calibri"/>
                <w:bCs/>
              </w:rPr>
            </w:pPr>
            <w:proofErr w:type="gramStart"/>
            <w:r w:rsidRPr="00DE5624">
              <w:rPr>
                <w:rFonts w:cs="Calibri"/>
                <w:bCs/>
              </w:rPr>
              <w:t>In an effort to</w:t>
            </w:r>
            <w:proofErr w:type="gramEnd"/>
            <w:r w:rsidRPr="00DE5624">
              <w:rPr>
                <w:rFonts w:cs="Calibri"/>
                <w:bCs/>
              </w:rPr>
              <w:t xml:space="preserve"> render the Human Rights Council more accessible to persons with disabilities and to promote their full participation in the work of the Council on an equal basis with others, the panel discussion will be webcast and made accessible. International sign interpretation and real-time captioning in English will be provided and webcast. Participants can access live English captioning on the Stream Text web page (</w:t>
            </w:r>
            <w:hyperlink r:id="rId13" w:history="1">
              <w:r w:rsidRPr="00DE5624">
                <w:rPr>
                  <w:rStyle w:val="Hyperlink"/>
                  <w:rFonts w:cs="Calibri"/>
                  <w:bCs/>
                </w:rPr>
                <w:t>https://www.streamtext.net/player?event=CFI-UNOG</w:t>
              </w:r>
            </w:hyperlink>
            <w:r w:rsidRPr="00DE5624">
              <w:rPr>
                <w:rFonts w:cs="Calibri"/>
                <w:bCs/>
              </w:rPr>
              <w:t xml:space="preserve">) during the event itself. Hearing loops are available for collection from the Secretariat desk. Oral statements may be embossed in Braille from any of the six official languages of the United Nations, upon request and following the procedure described in the </w:t>
            </w:r>
            <w:r w:rsidRPr="00DE5624">
              <w:rPr>
                <w:rFonts w:cs="Calibri"/>
                <w:bCs/>
                <w:i/>
                <w:iCs/>
              </w:rPr>
              <w:t>Accessibility guide to the Human Rights Council for persons with disabilities</w:t>
            </w:r>
            <w:r w:rsidRPr="00DE5624">
              <w:rPr>
                <w:rFonts w:cs="Calibri"/>
                <w:bCs/>
              </w:rPr>
              <w:t xml:space="preserve"> (</w:t>
            </w:r>
            <w:hyperlink r:id="rId14" w:history="1">
              <w:r w:rsidRPr="00DE5624">
                <w:rPr>
                  <w:rStyle w:val="Hyperlink"/>
                  <w:rFonts w:cs="Calibri"/>
                  <w:bCs/>
                </w:rPr>
                <w:t>https://www.ohchr.org/en/hr-bodies/hrc/accessibility</w:t>
              </w:r>
            </w:hyperlink>
            <w:r w:rsidRPr="00DE5624">
              <w:rPr>
                <w:rFonts w:cs="Calibri"/>
                <w:bCs/>
              </w:rPr>
              <w:t>).</w:t>
            </w:r>
          </w:p>
        </w:tc>
      </w:tr>
      <w:tr w:rsidR="00DE5624" w:rsidRPr="00DE5624" w14:paraId="38C6375C" w14:textId="77777777" w:rsidTr="291FEDAC">
        <w:tc>
          <w:tcPr>
            <w:tcW w:w="1450" w:type="dxa"/>
          </w:tcPr>
          <w:p w14:paraId="2AAF4767" w14:textId="2B198828" w:rsidR="00DE5624" w:rsidRPr="00DE5624" w:rsidRDefault="00CE2BAE" w:rsidP="00BB14ED">
            <w:pPr>
              <w:spacing w:after="80" w:line="240" w:lineRule="auto"/>
              <w:rPr>
                <w:rFonts w:cs="Calibri"/>
                <w:b/>
              </w:rPr>
            </w:pPr>
            <w:r>
              <w:rPr>
                <w:rFonts w:cs="Calibri"/>
                <w:b/>
              </w:rPr>
              <w:t>Related</w:t>
            </w:r>
            <w:r w:rsidRPr="00DE5624">
              <w:rPr>
                <w:rFonts w:cs="Calibri"/>
                <w:b/>
              </w:rPr>
              <w:t xml:space="preserve"> </w:t>
            </w:r>
            <w:r w:rsidR="00DE5624" w:rsidRPr="00DE5624">
              <w:rPr>
                <w:rFonts w:cs="Calibri"/>
                <w:b/>
              </w:rPr>
              <w:t>documents:</w:t>
            </w:r>
          </w:p>
        </w:tc>
        <w:tc>
          <w:tcPr>
            <w:tcW w:w="8756" w:type="dxa"/>
          </w:tcPr>
          <w:p w14:paraId="21530B58" w14:textId="639D29B3" w:rsidR="00DE5624" w:rsidRPr="00F85073" w:rsidRDefault="00875926" w:rsidP="00CE27DE">
            <w:pPr>
              <w:numPr>
                <w:ilvl w:val="0"/>
                <w:numId w:val="2"/>
              </w:numPr>
              <w:spacing w:after="120" w:line="240" w:lineRule="auto"/>
              <w:rPr>
                <w:rFonts w:cs="Calibri"/>
              </w:rPr>
            </w:pPr>
            <w:hyperlink r:id="rId15" w:history="1">
              <w:r>
                <w:rPr>
                  <w:rStyle w:val="Hyperlink"/>
                </w:rPr>
                <w:t>Human Rights Council resolution 55/8</w:t>
              </w:r>
            </w:hyperlink>
            <w:r>
              <w:t xml:space="preserve"> </w:t>
            </w:r>
            <w:hyperlink r:id="rId16"/>
            <w:hyperlink r:id="rId17" w:history="1"/>
            <w:r w:rsidR="00DE5624" w:rsidRPr="291FEDAC">
              <w:rPr>
                <w:rFonts w:cs="Calibri"/>
              </w:rPr>
              <w:t xml:space="preserve">of </w:t>
            </w:r>
            <w:r w:rsidR="00B54363" w:rsidRPr="291FEDAC">
              <w:rPr>
                <w:rFonts w:cs="Calibri"/>
              </w:rPr>
              <w:t>3</w:t>
            </w:r>
            <w:r w:rsidR="00DE5624" w:rsidRPr="291FEDAC">
              <w:rPr>
                <w:rFonts w:cs="Calibri"/>
              </w:rPr>
              <w:t xml:space="preserve"> April 2024 on support systems to ensure community inclusion of persons with disabilities</w:t>
            </w:r>
          </w:p>
          <w:p w14:paraId="5073308A" w14:textId="039D7127" w:rsidR="001939F1" w:rsidRPr="00DE5624" w:rsidRDefault="009C1EDB" w:rsidP="001D0D03">
            <w:pPr>
              <w:numPr>
                <w:ilvl w:val="0"/>
                <w:numId w:val="2"/>
              </w:numPr>
              <w:spacing w:after="120" w:line="240" w:lineRule="auto"/>
              <w:ind w:left="357" w:hanging="357"/>
              <w:rPr>
                <w:rFonts w:cs="Calibri"/>
              </w:rPr>
            </w:pPr>
            <w:hyperlink r:id="rId18" w:history="1">
              <w:r w:rsidRPr="001D0D03">
                <w:rPr>
                  <w:rStyle w:val="Hyperlink"/>
                  <w:rFonts w:cs="Calibri"/>
                </w:rPr>
                <w:t>Human Rights Council resolution 54/6</w:t>
              </w:r>
            </w:hyperlink>
            <w:r w:rsidRPr="291FEDAC">
              <w:rPr>
                <w:rFonts w:cs="Calibri"/>
              </w:rPr>
              <w:t xml:space="preserve"> of 11 October </w:t>
            </w:r>
            <w:r w:rsidR="009779F9" w:rsidRPr="291FEDAC">
              <w:rPr>
                <w:rFonts w:cs="Calibri"/>
              </w:rPr>
              <w:t xml:space="preserve">2023 on the </w:t>
            </w:r>
            <w:r w:rsidR="00BE4BD1">
              <w:rPr>
                <w:rFonts w:cs="Calibri"/>
              </w:rPr>
              <w:t>c</w:t>
            </w:r>
            <w:r w:rsidR="009779F9" w:rsidRPr="291FEDAC">
              <w:rPr>
                <w:rFonts w:cs="Calibri"/>
              </w:rPr>
              <w:t>entrality of care and support from a human rights perspective</w:t>
            </w:r>
          </w:p>
          <w:p w14:paraId="5A9F18A9" w14:textId="0595C188" w:rsidR="00DE5624" w:rsidRPr="00DE5624" w:rsidRDefault="000D5D53" w:rsidP="00CE27DE">
            <w:pPr>
              <w:numPr>
                <w:ilvl w:val="0"/>
                <w:numId w:val="2"/>
              </w:numPr>
              <w:spacing w:after="120" w:line="240" w:lineRule="auto"/>
              <w:ind w:left="357" w:hanging="357"/>
              <w:rPr>
                <w:rFonts w:cs="Calibri"/>
              </w:rPr>
            </w:pPr>
            <w:r>
              <w:t xml:space="preserve">Report of OHCHR on </w:t>
            </w:r>
            <w:r w:rsidR="0000334A">
              <w:t>disability</w:t>
            </w:r>
            <w:r w:rsidR="009A53B6" w:rsidRPr="003A2B14">
              <w:rPr>
                <w:lang w:val="en-US"/>
              </w:rPr>
              <w:t>-inclusive infrastructure, including transport and housing</w:t>
            </w:r>
            <w:r w:rsidR="009A53B6" w:rsidRPr="291FEDAC" w:rsidDel="009A53B6">
              <w:rPr>
                <w:rFonts w:cs="Calibri"/>
              </w:rPr>
              <w:t xml:space="preserve"> </w:t>
            </w:r>
            <w:r w:rsidR="00EA734F">
              <w:rPr>
                <w:rFonts w:cs="Calibri"/>
                <w:lang w:val="en-US"/>
              </w:rPr>
              <w:t>(</w:t>
            </w:r>
            <w:hyperlink r:id="rId19" w:history="1">
              <w:r w:rsidR="00EA734F" w:rsidRPr="00EA734F">
                <w:rPr>
                  <w:rStyle w:val="Hyperlink"/>
                  <w:rFonts w:cs="Calibri"/>
                  <w:lang w:val="en-US"/>
                </w:rPr>
                <w:t>A/HRC/61/32</w:t>
              </w:r>
            </w:hyperlink>
            <w:r w:rsidR="00EA734F">
              <w:rPr>
                <w:rFonts w:cs="Calibri"/>
                <w:lang w:val="en-US"/>
              </w:rPr>
              <w:t>)</w:t>
            </w:r>
          </w:p>
          <w:p w14:paraId="6C1A4C57" w14:textId="5D2E40A4" w:rsidR="00DE5624" w:rsidRPr="00DE5624" w:rsidRDefault="784E6D57" w:rsidP="00CE27DE">
            <w:pPr>
              <w:pStyle w:val="ListParagraph"/>
              <w:numPr>
                <w:ilvl w:val="0"/>
                <w:numId w:val="2"/>
              </w:numPr>
              <w:spacing w:after="120" w:line="240" w:lineRule="auto"/>
              <w:contextualSpacing w:val="0"/>
              <w:rPr>
                <w:rFonts w:cs="Calibri"/>
              </w:rPr>
            </w:pPr>
            <w:r w:rsidRPr="291FEDAC">
              <w:rPr>
                <w:rFonts w:cs="Calibri"/>
              </w:rPr>
              <w:t>Report of OHCHR on the rights of persons with disabilities and digital technologies and devices, including assistive technologies (</w:t>
            </w:r>
            <w:hyperlink r:id="rId20">
              <w:r w:rsidRPr="291FEDAC">
                <w:rPr>
                  <w:rStyle w:val="Hyperlink"/>
                  <w:rFonts w:cs="Calibri"/>
                </w:rPr>
                <w:t>A/HRC/58/33</w:t>
              </w:r>
            </w:hyperlink>
            <w:r w:rsidRPr="291FEDAC">
              <w:rPr>
                <w:rFonts w:cs="Calibri"/>
              </w:rPr>
              <w:t>)</w:t>
            </w:r>
          </w:p>
          <w:p w14:paraId="6F06DA1C" w14:textId="5272C34C" w:rsidR="00DE5624" w:rsidRPr="0032415C" w:rsidRDefault="784E6D57" w:rsidP="00CE27DE">
            <w:pPr>
              <w:pStyle w:val="ListParagraph"/>
              <w:numPr>
                <w:ilvl w:val="0"/>
                <w:numId w:val="2"/>
              </w:numPr>
              <w:spacing w:after="120" w:line="240" w:lineRule="auto"/>
              <w:contextualSpacing w:val="0"/>
              <w:rPr>
                <w:rFonts w:cs="Calibri"/>
              </w:rPr>
            </w:pPr>
            <w:r w:rsidRPr="41CA10AA">
              <w:rPr>
                <w:rFonts w:cs="Calibri"/>
              </w:rPr>
              <w:t xml:space="preserve">Report of </w:t>
            </w:r>
            <w:r w:rsidR="000C31CA">
              <w:rPr>
                <w:rFonts w:cs="Calibri"/>
              </w:rPr>
              <w:t xml:space="preserve">the </w:t>
            </w:r>
            <w:r w:rsidR="00635EE5">
              <w:rPr>
                <w:rFonts w:cs="Calibri"/>
              </w:rPr>
              <w:t xml:space="preserve">United Nations </w:t>
            </w:r>
            <w:r w:rsidR="000C31CA">
              <w:rPr>
                <w:rFonts w:cs="Calibri"/>
              </w:rPr>
              <w:t xml:space="preserve">High Commissioner </w:t>
            </w:r>
            <w:r w:rsidR="00635EE5">
              <w:rPr>
                <w:rFonts w:cs="Calibri"/>
              </w:rPr>
              <w:t xml:space="preserve">for Human Rights </w:t>
            </w:r>
            <w:r w:rsidRPr="41CA10AA">
              <w:rPr>
                <w:rFonts w:cs="Calibri"/>
              </w:rPr>
              <w:t>on human rights dimension of care and support (</w:t>
            </w:r>
            <w:hyperlink r:id="rId21" w:history="1">
              <w:r w:rsidRPr="41CA10AA">
                <w:rPr>
                  <w:rStyle w:val="Hyperlink"/>
                  <w:rFonts w:cs="Calibri"/>
                </w:rPr>
                <w:t>A/HRC/58/43</w:t>
              </w:r>
            </w:hyperlink>
            <w:r w:rsidRPr="41CA10AA">
              <w:rPr>
                <w:rFonts w:cs="Calibri"/>
              </w:rPr>
              <w:t>)</w:t>
            </w:r>
          </w:p>
          <w:p w14:paraId="392AFB94" w14:textId="17BB0DC8" w:rsidR="00DE5624" w:rsidRPr="00DE5624" w:rsidRDefault="784E6D57" w:rsidP="00CE27DE">
            <w:pPr>
              <w:numPr>
                <w:ilvl w:val="0"/>
                <w:numId w:val="2"/>
              </w:numPr>
              <w:spacing w:after="120" w:line="240" w:lineRule="auto"/>
              <w:ind w:left="357" w:hanging="357"/>
              <w:rPr>
                <w:rFonts w:cs="Calibri"/>
              </w:rPr>
            </w:pPr>
            <w:r w:rsidRPr="291FEDAC">
              <w:rPr>
                <w:rFonts w:cs="Calibri"/>
              </w:rPr>
              <w:t>Report of OHCHR on good practices of support systems enabling community inclusion of persons with disabilities (</w:t>
            </w:r>
            <w:hyperlink r:id="rId22" w:history="1">
              <w:r w:rsidRPr="291FEDAC">
                <w:rPr>
                  <w:rStyle w:val="Hyperlink"/>
                  <w:rFonts w:cs="Calibri"/>
                </w:rPr>
                <w:t>A/HRC/55/34</w:t>
              </w:r>
            </w:hyperlink>
            <w:r w:rsidRPr="291FEDAC">
              <w:rPr>
                <w:rFonts w:cs="Calibri"/>
              </w:rPr>
              <w:t>)</w:t>
            </w:r>
          </w:p>
          <w:p w14:paraId="268CE8C3" w14:textId="7E0C7CF5" w:rsidR="00DE5624" w:rsidRPr="00DE5624" w:rsidRDefault="00DE5624" w:rsidP="00CE27DE">
            <w:pPr>
              <w:numPr>
                <w:ilvl w:val="0"/>
                <w:numId w:val="2"/>
              </w:numPr>
              <w:spacing w:after="120" w:line="240" w:lineRule="auto"/>
              <w:ind w:left="357" w:hanging="357"/>
              <w:rPr>
                <w:rFonts w:cs="Calibri"/>
              </w:rPr>
            </w:pPr>
            <w:r w:rsidRPr="291FEDAC">
              <w:rPr>
                <w:rFonts w:cs="Calibri"/>
              </w:rPr>
              <w:t>Report of OHCHR on support systems to ensure community inclusion of persons with disabilities, including as a means of building forward better after the coronavirus disease (COVID-19) pandemic (</w:t>
            </w:r>
            <w:hyperlink r:id="rId23">
              <w:r w:rsidRPr="291FEDAC">
                <w:rPr>
                  <w:rStyle w:val="Hyperlink"/>
                  <w:rFonts w:cs="Calibri"/>
                </w:rPr>
                <w:t>A/HRC/52/52</w:t>
              </w:r>
            </w:hyperlink>
            <w:r w:rsidRPr="291FEDAC">
              <w:rPr>
                <w:rFonts w:cs="Calibri"/>
              </w:rPr>
              <w:t>)</w:t>
            </w:r>
          </w:p>
          <w:p w14:paraId="206C1979" w14:textId="4022B1E6" w:rsidR="00DE5624" w:rsidRPr="00144F73" w:rsidRDefault="00DE5624" w:rsidP="00CE27DE">
            <w:pPr>
              <w:numPr>
                <w:ilvl w:val="0"/>
                <w:numId w:val="2"/>
              </w:numPr>
              <w:spacing w:after="120" w:line="240" w:lineRule="auto"/>
              <w:ind w:left="357" w:hanging="357"/>
              <w:rPr>
                <w:rFonts w:cs="Calibri"/>
                <w:bCs/>
              </w:rPr>
            </w:pPr>
            <w:r w:rsidRPr="00DE5624">
              <w:rPr>
                <w:rFonts w:cs="Calibri"/>
                <w:bCs/>
              </w:rPr>
              <w:t xml:space="preserve">OHCHR web page with </w:t>
            </w:r>
            <w:hyperlink r:id="rId24" w:history="1">
              <w:r w:rsidRPr="00DE5624">
                <w:rPr>
                  <w:rStyle w:val="Hyperlink"/>
                  <w:rFonts w:cs="Calibri"/>
                  <w:bCs/>
                </w:rPr>
                <w:t>studies, reports and papers on the rights of persons with disabilities</w:t>
              </w:r>
            </w:hyperlink>
          </w:p>
          <w:p w14:paraId="0B04232D" w14:textId="0E0F97CE" w:rsidR="00144F73" w:rsidRPr="00DE5624" w:rsidRDefault="00144F73" w:rsidP="00144F73">
            <w:pPr>
              <w:numPr>
                <w:ilvl w:val="0"/>
                <w:numId w:val="2"/>
              </w:numPr>
              <w:spacing w:after="120" w:line="240" w:lineRule="auto"/>
              <w:ind w:left="357" w:hanging="357"/>
              <w:rPr>
                <w:rFonts w:cs="Calibri"/>
                <w:bCs/>
              </w:rPr>
            </w:pPr>
            <w:r>
              <w:rPr>
                <w:rFonts w:cs="Calibri"/>
                <w:bCs/>
              </w:rPr>
              <w:t>OHC</w:t>
            </w:r>
            <w:r w:rsidR="00894BCC">
              <w:rPr>
                <w:rFonts w:cs="Calibri"/>
                <w:bCs/>
              </w:rPr>
              <w:t>H</w:t>
            </w:r>
            <w:r>
              <w:rPr>
                <w:rFonts w:cs="Calibri"/>
                <w:bCs/>
              </w:rPr>
              <w:t xml:space="preserve">R web page on </w:t>
            </w:r>
            <w:hyperlink r:id="rId25" w:history="1">
              <w:r w:rsidR="00894BCC">
                <w:rPr>
                  <w:rStyle w:val="Hyperlink"/>
                  <w:rFonts w:cs="Calibri"/>
                  <w:bCs/>
                </w:rPr>
                <w:t>c</w:t>
              </w:r>
              <w:r w:rsidRPr="00144F73">
                <w:rPr>
                  <w:rStyle w:val="Hyperlink"/>
                  <w:rFonts w:cs="Calibri"/>
                  <w:bCs/>
                </w:rPr>
                <w:t>are and support</w:t>
              </w:r>
            </w:hyperlink>
          </w:p>
        </w:tc>
      </w:tr>
    </w:tbl>
    <w:p w14:paraId="45D9A839" w14:textId="073F65BF" w:rsidR="002C2FA7" w:rsidRPr="00DE5624" w:rsidRDefault="002C2FA7" w:rsidP="00CE2BAE">
      <w:pPr>
        <w:spacing w:line="240" w:lineRule="auto"/>
        <w:rPr>
          <w:rFonts w:cs="Calibri"/>
        </w:rPr>
      </w:pPr>
    </w:p>
    <w:sectPr w:rsidR="002C2FA7" w:rsidRPr="00DE5624" w:rsidSect="00DE5624">
      <w:footerReference w:type="default" r:id="rId26"/>
      <w:pgSz w:w="11906" w:h="16838"/>
      <w:pgMar w:top="709"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377A" w14:textId="77777777" w:rsidR="00A30592" w:rsidRDefault="00A30592" w:rsidP="00DE5624">
      <w:pPr>
        <w:spacing w:after="0" w:line="240" w:lineRule="auto"/>
      </w:pPr>
      <w:r>
        <w:separator/>
      </w:r>
    </w:p>
  </w:endnote>
  <w:endnote w:type="continuationSeparator" w:id="0">
    <w:p w14:paraId="7421E943" w14:textId="77777777" w:rsidR="00A30592" w:rsidRDefault="00A30592" w:rsidP="00DE5624">
      <w:pPr>
        <w:spacing w:after="0" w:line="240" w:lineRule="auto"/>
      </w:pPr>
      <w:r>
        <w:continuationSeparator/>
      </w:r>
    </w:p>
  </w:endnote>
  <w:endnote w:type="continuationNotice" w:id="1">
    <w:p w14:paraId="6CE63623" w14:textId="77777777" w:rsidR="00A30592" w:rsidRDefault="00A30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A70F" w14:textId="77777777" w:rsidR="00DE5624" w:rsidRDefault="00DE5624" w:rsidP="0081659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E0DA" w14:textId="77777777" w:rsidR="00A30592" w:rsidRDefault="00A30592" w:rsidP="00DE5624">
      <w:pPr>
        <w:spacing w:after="0" w:line="240" w:lineRule="auto"/>
      </w:pPr>
      <w:r>
        <w:separator/>
      </w:r>
    </w:p>
  </w:footnote>
  <w:footnote w:type="continuationSeparator" w:id="0">
    <w:p w14:paraId="10BA1AA7" w14:textId="77777777" w:rsidR="00A30592" w:rsidRDefault="00A30592" w:rsidP="00DE5624">
      <w:pPr>
        <w:spacing w:after="0" w:line="240" w:lineRule="auto"/>
      </w:pPr>
      <w:r>
        <w:continuationSeparator/>
      </w:r>
    </w:p>
  </w:footnote>
  <w:footnote w:type="continuationNotice" w:id="1">
    <w:p w14:paraId="7E34DECD" w14:textId="77777777" w:rsidR="00A30592" w:rsidRDefault="00A30592">
      <w:pPr>
        <w:spacing w:after="0" w:line="240" w:lineRule="auto"/>
      </w:pPr>
    </w:p>
  </w:footnote>
  <w:footnote w:id="2">
    <w:p w14:paraId="18E22F02" w14:textId="0DC778DC" w:rsidR="00666478" w:rsidRPr="00780549" w:rsidRDefault="00666478" w:rsidP="00666478">
      <w:pPr>
        <w:pStyle w:val="FootnoteText"/>
        <w:spacing w:after="0" w:line="240" w:lineRule="auto"/>
        <w:rPr>
          <w:rFonts w:cs="Calibri"/>
        </w:rPr>
      </w:pPr>
      <w:r w:rsidRPr="00780549">
        <w:rPr>
          <w:rStyle w:val="FootnoteReference"/>
          <w:rFonts w:cs="Calibri"/>
        </w:rPr>
        <w:footnoteRef/>
      </w:r>
      <w:r w:rsidRPr="00780549">
        <w:rPr>
          <w:rFonts w:cs="Calibri"/>
        </w:rPr>
        <w:t xml:space="preserve"> See web page </w:t>
      </w:r>
      <w:hyperlink r:id="rId1" w:history="1">
        <w:r w:rsidR="00B22927" w:rsidRPr="009C634D">
          <w:rPr>
            <w:rStyle w:val="Hyperlink"/>
            <w:rFonts w:cs="Calibri"/>
          </w:rPr>
          <w:t>https://www.ohchr.org/en/documents/thematic-reports/ahrc6132-disability-inclusive-infrastructure-including-transport-and</w:t>
        </w:r>
      </w:hyperlink>
      <w:r w:rsidR="00B22927">
        <w:rPr>
          <w:rFonts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636405"/>
    <w:multiLevelType w:val="hybridMultilevel"/>
    <w:tmpl w:val="56DA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734515">
    <w:abstractNumId w:val="0"/>
  </w:num>
  <w:num w:numId="2" w16cid:durableId="1094668261">
    <w:abstractNumId w:val="1"/>
  </w:num>
  <w:num w:numId="3" w16cid:durableId="70737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24"/>
    <w:rsid w:val="0000334A"/>
    <w:rsid w:val="00004697"/>
    <w:rsid w:val="00015C64"/>
    <w:rsid w:val="000201EC"/>
    <w:rsid w:val="00020D50"/>
    <w:rsid w:val="00023303"/>
    <w:rsid w:val="000279B1"/>
    <w:rsid w:val="000319C4"/>
    <w:rsid w:val="00034EB1"/>
    <w:rsid w:val="00040888"/>
    <w:rsid w:val="00042913"/>
    <w:rsid w:val="00046A12"/>
    <w:rsid w:val="00065299"/>
    <w:rsid w:val="00076205"/>
    <w:rsid w:val="00083046"/>
    <w:rsid w:val="00086298"/>
    <w:rsid w:val="00090389"/>
    <w:rsid w:val="00090BFB"/>
    <w:rsid w:val="00093C25"/>
    <w:rsid w:val="00094953"/>
    <w:rsid w:val="000C0FB2"/>
    <w:rsid w:val="000C31CA"/>
    <w:rsid w:val="000D1810"/>
    <w:rsid w:val="000D5D53"/>
    <w:rsid w:val="000E601E"/>
    <w:rsid w:val="000E7492"/>
    <w:rsid w:val="000F2A82"/>
    <w:rsid w:val="000F2D72"/>
    <w:rsid w:val="000F5BBA"/>
    <w:rsid w:val="00103399"/>
    <w:rsid w:val="001064EC"/>
    <w:rsid w:val="00113F80"/>
    <w:rsid w:val="0011498A"/>
    <w:rsid w:val="00116BC7"/>
    <w:rsid w:val="00116E65"/>
    <w:rsid w:val="00132ADC"/>
    <w:rsid w:val="00144F73"/>
    <w:rsid w:val="001456C0"/>
    <w:rsid w:val="001470EA"/>
    <w:rsid w:val="00153DD5"/>
    <w:rsid w:val="00154D6E"/>
    <w:rsid w:val="00174AFD"/>
    <w:rsid w:val="00180085"/>
    <w:rsid w:val="00180994"/>
    <w:rsid w:val="00183AA5"/>
    <w:rsid w:val="00185C5C"/>
    <w:rsid w:val="00190E37"/>
    <w:rsid w:val="001939F1"/>
    <w:rsid w:val="001A0ADA"/>
    <w:rsid w:val="001A101F"/>
    <w:rsid w:val="001B3422"/>
    <w:rsid w:val="001B5C8A"/>
    <w:rsid w:val="001D0D03"/>
    <w:rsid w:val="001D3AB2"/>
    <w:rsid w:val="001D4B4A"/>
    <w:rsid w:val="001E4943"/>
    <w:rsid w:val="001E4CC9"/>
    <w:rsid w:val="00233074"/>
    <w:rsid w:val="00234A59"/>
    <w:rsid w:val="00241908"/>
    <w:rsid w:val="002429A6"/>
    <w:rsid w:val="00242E09"/>
    <w:rsid w:val="00245944"/>
    <w:rsid w:val="002536C6"/>
    <w:rsid w:val="0025419C"/>
    <w:rsid w:val="00263238"/>
    <w:rsid w:val="00271CEC"/>
    <w:rsid w:val="00273B7F"/>
    <w:rsid w:val="00277A42"/>
    <w:rsid w:val="00281BD7"/>
    <w:rsid w:val="002B0223"/>
    <w:rsid w:val="002B130D"/>
    <w:rsid w:val="002C293E"/>
    <w:rsid w:val="002C2FA7"/>
    <w:rsid w:val="002C584F"/>
    <w:rsid w:val="002D5D1F"/>
    <w:rsid w:val="002E5502"/>
    <w:rsid w:val="002E5A90"/>
    <w:rsid w:val="002E6668"/>
    <w:rsid w:val="002F079E"/>
    <w:rsid w:val="002F0B2E"/>
    <w:rsid w:val="002F1F24"/>
    <w:rsid w:val="002F3265"/>
    <w:rsid w:val="00303409"/>
    <w:rsid w:val="00304A8C"/>
    <w:rsid w:val="00315131"/>
    <w:rsid w:val="0032415C"/>
    <w:rsid w:val="00332A94"/>
    <w:rsid w:val="003470D4"/>
    <w:rsid w:val="003641E3"/>
    <w:rsid w:val="00384EC2"/>
    <w:rsid w:val="003A58CF"/>
    <w:rsid w:val="003B6B70"/>
    <w:rsid w:val="003B6E96"/>
    <w:rsid w:val="003C7DEA"/>
    <w:rsid w:val="003D063D"/>
    <w:rsid w:val="003D7EEA"/>
    <w:rsid w:val="003E26F9"/>
    <w:rsid w:val="003E6482"/>
    <w:rsid w:val="003F1321"/>
    <w:rsid w:val="003F1689"/>
    <w:rsid w:val="003F2DF3"/>
    <w:rsid w:val="004011AB"/>
    <w:rsid w:val="0040205A"/>
    <w:rsid w:val="0040297F"/>
    <w:rsid w:val="0040330F"/>
    <w:rsid w:val="004034CA"/>
    <w:rsid w:val="00417D44"/>
    <w:rsid w:val="00425F49"/>
    <w:rsid w:val="004441ED"/>
    <w:rsid w:val="00450513"/>
    <w:rsid w:val="00450E0A"/>
    <w:rsid w:val="00453E40"/>
    <w:rsid w:val="00455C7A"/>
    <w:rsid w:val="00471911"/>
    <w:rsid w:val="00473BCA"/>
    <w:rsid w:val="00473F61"/>
    <w:rsid w:val="00476F8E"/>
    <w:rsid w:val="00480EFE"/>
    <w:rsid w:val="00486A39"/>
    <w:rsid w:val="004926F3"/>
    <w:rsid w:val="00496AC7"/>
    <w:rsid w:val="004A142A"/>
    <w:rsid w:val="004B68A3"/>
    <w:rsid w:val="004C3743"/>
    <w:rsid w:val="004C61E4"/>
    <w:rsid w:val="004D4A85"/>
    <w:rsid w:val="004F124D"/>
    <w:rsid w:val="00513078"/>
    <w:rsid w:val="00515C8C"/>
    <w:rsid w:val="00524059"/>
    <w:rsid w:val="0053175A"/>
    <w:rsid w:val="0054329E"/>
    <w:rsid w:val="005451E3"/>
    <w:rsid w:val="005540BD"/>
    <w:rsid w:val="00565B07"/>
    <w:rsid w:val="0056632A"/>
    <w:rsid w:val="005717F3"/>
    <w:rsid w:val="005822B7"/>
    <w:rsid w:val="00582C05"/>
    <w:rsid w:val="0058388A"/>
    <w:rsid w:val="00585DA5"/>
    <w:rsid w:val="005B3FDB"/>
    <w:rsid w:val="005C15D2"/>
    <w:rsid w:val="005D7A72"/>
    <w:rsid w:val="005E04BD"/>
    <w:rsid w:val="005E39F4"/>
    <w:rsid w:val="005E461F"/>
    <w:rsid w:val="005E6735"/>
    <w:rsid w:val="005F19F1"/>
    <w:rsid w:val="005F3A25"/>
    <w:rsid w:val="005F57EB"/>
    <w:rsid w:val="00600717"/>
    <w:rsid w:val="00604350"/>
    <w:rsid w:val="006065CB"/>
    <w:rsid w:val="0061082C"/>
    <w:rsid w:val="006163E9"/>
    <w:rsid w:val="00623335"/>
    <w:rsid w:val="00627B56"/>
    <w:rsid w:val="00631E46"/>
    <w:rsid w:val="00635EE5"/>
    <w:rsid w:val="00644EE6"/>
    <w:rsid w:val="0064663A"/>
    <w:rsid w:val="006479B0"/>
    <w:rsid w:val="00655E35"/>
    <w:rsid w:val="006650B4"/>
    <w:rsid w:val="00666478"/>
    <w:rsid w:val="006708BC"/>
    <w:rsid w:val="0068075F"/>
    <w:rsid w:val="00692858"/>
    <w:rsid w:val="00693F9E"/>
    <w:rsid w:val="006956E5"/>
    <w:rsid w:val="006A051A"/>
    <w:rsid w:val="006A10A6"/>
    <w:rsid w:val="006A22CC"/>
    <w:rsid w:val="006A356D"/>
    <w:rsid w:val="006A4697"/>
    <w:rsid w:val="006B55FF"/>
    <w:rsid w:val="006C11BC"/>
    <w:rsid w:val="006C27DA"/>
    <w:rsid w:val="006C4CCB"/>
    <w:rsid w:val="006C5FE0"/>
    <w:rsid w:val="006D2B12"/>
    <w:rsid w:val="006D2F29"/>
    <w:rsid w:val="006D6072"/>
    <w:rsid w:val="006D64DC"/>
    <w:rsid w:val="006D6A53"/>
    <w:rsid w:val="006D76AD"/>
    <w:rsid w:val="006E179E"/>
    <w:rsid w:val="006F1C14"/>
    <w:rsid w:val="007102BC"/>
    <w:rsid w:val="00711A85"/>
    <w:rsid w:val="007120D3"/>
    <w:rsid w:val="00717FB2"/>
    <w:rsid w:val="007255F4"/>
    <w:rsid w:val="007314A9"/>
    <w:rsid w:val="00736C7C"/>
    <w:rsid w:val="00743394"/>
    <w:rsid w:val="00754124"/>
    <w:rsid w:val="00771491"/>
    <w:rsid w:val="007728EF"/>
    <w:rsid w:val="00775BA2"/>
    <w:rsid w:val="00780549"/>
    <w:rsid w:val="00792356"/>
    <w:rsid w:val="00796348"/>
    <w:rsid w:val="007A1A0F"/>
    <w:rsid w:val="007A4031"/>
    <w:rsid w:val="007B2E70"/>
    <w:rsid w:val="007B4776"/>
    <w:rsid w:val="007C423D"/>
    <w:rsid w:val="007D3171"/>
    <w:rsid w:val="007E3112"/>
    <w:rsid w:val="007E4068"/>
    <w:rsid w:val="007E4688"/>
    <w:rsid w:val="007E5EC7"/>
    <w:rsid w:val="007F26DF"/>
    <w:rsid w:val="008014CD"/>
    <w:rsid w:val="0080406B"/>
    <w:rsid w:val="00806D53"/>
    <w:rsid w:val="00812D8C"/>
    <w:rsid w:val="00816596"/>
    <w:rsid w:val="0082124F"/>
    <w:rsid w:val="00836B3E"/>
    <w:rsid w:val="00842492"/>
    <w:rsid w:val="00845175"/>
    <w:rsid w:val="00846F4B"/>
    <w:rsid w:val="00847EA5"/>
    <w:rsid w:val="00856489"/>
    <w:rsid w:val="008612FA"/>
    <w:rsid w:val="00872D90"/>
    <w:rsid w:val="00874402"/>
    <w:rsid w:val="00875926"/>
    <w:rsid w:val="008830C4"/>
    <w:rsid w:val="008856FD"/>
    <w:rsid w:val="0088770B"/>
    <w:rsid w:val="0089298E"/>
    <w:rsid w:val="00894BCC"/>
    <w:rsid w:val="00897965"/>
    <w:rsid w:val="008B2D85"/>
    <w:rsid w:val="008C0A50"/>
    <w:rsid w:val="008C20F9"/>
    <w:rsid w:val="008C2586"/>
    <w:rsid w:val="008C755C"/>
    <w:rsid w:val="008D4F1F"/>
    <w:rsid w:val="008E01B3"/>
    <w:rsid w:val="009015B8"/>
    <w:rsid w:val="009121B3"/>
    <w:rsid w:val="00913FC0"/>
    <w:rsid w:val="00926E96"/>
    <w:rsid w:val="0094420A"/>
    <w:rsid w:val="009453C9"/>
    <w:rsid w:val="00950C03"/>
    <w:rsid w:val="00957E1D"/>
    <w:rsid w:val="00970F66"/>
    <w:rsid w:val="00971CC5"/>
    <w:rsid w:val="00976E75"/>
    <w:rsid w:val="009779F9"/>
    <w:rsid w:val="0098553C"/>
    <w:rsid w:val="00993C05"/>
    <w:rsid w:val="009A53B6"/>
    <w:rsid w:val="009A6C26"/>
    <w:rsid w:val="009B03FF"/>
    <w:rsid w:val="009C1EDB"/>
    <w:rsid w:val="009D23F3"/>
    <w:rsid w:val="009D2B9D"/>
    <w:rsid w:val="009D68AC"/>
    <w:rsid w:val="009E3524"/>
    <w:rsid w:val="009F5805"/>
    <w:rsid w:val="009F5A4D"/>
    <w:rsid w:val="00A04C69"/>
    <w:rsid w:val="00A04E28"/>
    <w:rsid w:val="00A12495"/>
    <w:rsid w:val="00A15D06"/>
    <w:rsid w:val="00A20A0C"/>
    <w:rsid w:val="00A25EED"/>
    <w:rsid w:val="00A30592"/>
    <w:rsid w:val="00A37735"/>
    <w:rsid w:val="00A42328"/>
    <w:rsid w:val="00A42A00"/>
    <w:rsid w:val="00A43FD5"/>
    <w:rsid w:val="00A448E8"/>
    <w:rsid w:val="00A47B16"/>
    <w:rsid w:val="00A50097"/>
    <w:rsid w:val="00A510AD"/>
    <w:rsid w:val="00A52C22"/>
    <w:rsid w:val="00A536BF"/>
    <w:rsid w:val="00A56A03"/>
    <w:rsid w:val="00A63873"/>
    <w:rsid w:val="00A71FBC"/>
    <w:rsid w:val="00A729B4"/>
    <w:rsid w:val="00A7697A"/>
    <w:rsid w:val="00A84C58"/>
    <w:rsid w:val="00A85AB0"/>
    <w:rsid w:val="00A87273"/>
    <w:rsid w:val="00A95834"/>
    <w:rsid w:val="00AA2C90"/>
    <w:rsid w:val="00AA3C0C"/>
    <w:rsid w:val="00AB7CB3"/>
    <w:rsid w:val="00AC10B0"/>
    <w:rsid w:val="00AC3F4C"/>
    <w:rsid w:val="00AC4C49"/>
    <w:rsid w:val="00AD4A08"/>
    <w:rsid w:val="00AD55A3"/>
    <w:rsid w:val="00AE1983"/>
    <w:rsid w:val="00AE5DBF"/>
    <w:rsid w:val="00AF44AE"/>
    <w:rsid w:val="00AF475A"/>
    <w:rsid w:val="00B02D36"/>
    <w:rsid w:val="00B04929"/>
    <w:rsid w:val="00B057C8"/>
    <w:rsid w:val="00B12ADA"/>
    <w:rsid w:val="00B22927"/>
    <w:rsid w:val="00B26C21"/>
    <w:rsid w:val="00B27004"/>
    <w:rsid w:val="00B505AE"/>
    <w:rsid w:val="00B508AE"/>
    <w:rsid w:val="00B52F2C"/>
    <w:rsid w:val="00B54363"/>
    <w:rsid w:val="00B570F4"/>
    <w:rsid w:val="00B66633"/>
    <w:rsid w:val="00B6745F"/>
    <w:rsid w:val="00B83883"/>
    <w:rsid w:val="00B859EC"/>
    <w:rsid w:val="00B90E96"/>
    <w:rsid w:val="00B9431B"/>
    <w:rsid w:val="00B97397"/>
    <w:rsid w:val="00BB13A0"/>
    <w:rsid w:val="00BB14ED"/>
    <w:rsid w:val="00BB6A48"/>
    <w:rsid w:val="00BB7A41"/>
    <w:rsid w:val="00BC6745"/>
    <w:rsid w:val="00BC7EAE"/>
    <w:rsid w:val="00BD1330"/>
    <w:rsid w:val="00BD2F06"/>
    <w:rsid w:val="00BE4BD1"/>
    <w:rsid w:val="00BE6AD0"/>
    <w:rsid w:val="00C00633"/>
    <w:rsid w:val="00C00D5C"/>
    <w:rsid w:val="00C02159"/>
    <w:rsid w:val="00C25577"/>
    <w:rsid w:val="00C31923"/>
    <w:rsid w:val="00C35D9E"/>
    <w:rsid w:val="00C44AFD"/>
    <w:rsid w:val="00C52F6A"/>
    <w:rsid w:val="00C56C72"/>
    <w:rsid w:val="00C65A76"/>
    <w:rsid w:val="00C71537"/>
    <w:rsid w:val="00C73F3E"/>
    <w:rsid w:val="00C87B8F"/>
    <w:rsid w:val="00C9032F"/>
    <w:rsid w:val="00C95381"/>
    <w:rsid w:val="00CA10CE"/>
    <w:rsid w:val="00CA15B7"/>
    <w:rsid w:val="00CA33FC"/>
    <w:rsid w:val="00CB4E64"/>
    <w:rsid w:val="00CB58AC"/>
    <w:rsid w:val="00CC2C60"/>
    <w:rsid w:val="00CC5715"/>
    <w:rsid w:val="00CD5ECC"/>
    <w:rsid w:val="00CE27DE"/>
    <w:rsid w:val="00CE2BAE"/>
    <w:rsid w:val="00CF48BD"/>
    <w:rsid w:val="00D024D4"/>
    <w:rsid w:val="00D1591B"/>
    <w:rsid w:val="00D22057"/>
    <w:rsid w:val="00D32302"/>
    <w:rsid w:val="00D347D9"/>
    <w:rsid w:val="00D36480"/>
    <w:rsid w:val="00D36A6B"/>
    <w:rsid w:val="00D40C81"/>
    <w:rsid w:val="00D43FBB"/>
    <w:rsid w:val="00D45651"/>
    <w:rsid w:val="00D46C34"/>
    <w:rsid w:val="00D5754B"/>
    <w:rsid w:val="00D728F4"/>
    <w:rsid w:val="00D748EC"/>
    <w:rsid w:val="00D91406"/>
    <w:rsid w:val="00D91EAF"/>
    <w:rsid w:val="00D92834"/>
    <w:rsid w:val="00DA6158"/>
    <w:rsid w:val="00DB1F24"/>
    <w:rsid w:val="00DB6A5D"/>
    <w:rsid w:val="00DB7F6D"/>
    <w:rsid w:val="00DD12CB"/>
    <w:rsid w:val="00DD43A9"/>
    <w:rsid w:val="00DD794F"/>
    <w:rsid w:val="00DE5624"/>
    <w:rsid w:val="00DE5662"/>
    <w:rsid w:val="00DF247C"/>
    <w:rsid w:val="00DF44DE"/>
    <w:rsid w:val="00E04144"/>
    <w:rsid w:val="00E05AB2"/>
    <w:rsid w:val="00E21BE2"/>
    <w:rsid w:val="00E236AC"/>
    <w:rsid w:val="00E26467"/>
    <w:rsid w:val="00E32C42"/>
    <w:rsid w:val="00E51A6D"/>
    <w:rsid w:val="00E55E47"/>
    <w:rsid w:val="00E60DDB"/>
    <w:rsid w:val="00E749DA"/>
    <w:rsid w:val="00E76269"/>
    <w:rsid w:val="00E762DF"/>
    <w:rsid w:val="00E907AD"/>
    <w:rsid w:val="00EA47ED"/>
    <w:rsid w:val="00EA734F"/>
    <w:rsid w:val="00EB6836"/>
    <w:rsid w:val="00EC21AE"/>
    <w:rsid w:val="00ED3BB1"/>
    <w:rsid w:val="00EE6EA6"/>
    <w:rsid w:val="00EF0C8E"/>
    <w:rsid w:val="00EF3009"/>
    <w:rsid w:val="00EF4B3A"/>
    <w:rsid w:val="00F0019A"/>
    <w:rsid w:val="00F11F0B"/>
    <w:rsid w:val="00F12838"/>
    <w:rsid w:val="00F154AD"/>
    <w:rsid w:val="00F52075"/>
    <w:rsid w:val="00F54222"/>
    <w:rsid w:val="00F54589"/>
    <w:rsid w:val="00F55A16"/>
    <w:rsid w:val="00F61C88"/>
    <w:rsid w:val="00F67B9F"/>
    <w:rsid w:val="00F732B3"/>
    <w:rsid w:val="00F74DD8"/>
    <w:rsid w:val="00F77775"/>
    <w:rsid w:val="00F81061"/>
    <w:rsid w:val="00F85073"/>
    <w:rsid w:val="00F9036E"/>
    <w:rsid w:val="00FC069A"/>
    <w:rsid w:val="00FC232A"/>
    <w:rsid w:val="00FD6A49"/>
    <w:rsid w:val="00FE039D"/>
    <w:rsid w:val="00FF0FE1"/>
    <w:rsid w:val="00FF6E97"/>
    <w:rsid w:val="076DBB32"/>
    <w:rsid w:val="078F33A1"/>
    <w:rsid w:val="21F32CE5"/>
    <w:rsid w:val="291FEDAC"/>
    <w:rsid w:val="2D0A8FEB"/>
    <w:rsid w:val="3B13A152"/>
    <w:rsid w:val="410A9AA2"/>
    <w:rsid w:val="41CA10AA"/>
    <w:rsid w:val="494DA771"/>
    <w:rsid w:val="4D4B0FE2"/>
    <w:rsid w:val="62F33062"/>
    <w:rsid w:val="72F52F7D"/>
    <w:rsid w:val="784E6D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45C2"/>
  <w15:chartTrackingRefBased/>
  <w15:docId w15:val="{02A3FD03-579F-441A-9BD0-67ED22E0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24"/>
    <w:pPr>
      <w:spacing w:after="200" w:line="276" w:lineRule="auto"/>
    </w:pPr>
    <w:rPr>
      <w:rFonts w:ascii="Calibri" w:eastAsia="Calibri" w:hAnsi="Calibri" w:cs="Times New Roman"/>
      <w:kern w:val="0"/>
      <w:sz w:val="22"/>
      <w:szCs w:val="22"/>
      <w:lang w:val="en-GB" w:eastAsia="en-US"/>
      <w14:ligatures w14:val="none"/>
    </w:rPr>
  </w:style>
  <w:style w:type="paragraph" w:styleId="Heading1">
    <w:name w:val="heading 1"/>
    <w:basedOn w:val="Normal"/>
    <w:next w:val="Normal"/>
    <w:link w:val="Heading1Char"/>
    <w:uiPriority w:val="9"/>
    <w:qFormat/>
    <w:rsid w:val="00DE5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624"/>
    <w:rPr>
      <w:rFonts w:eastAsiaTheme="majorEastAsia" w:cstheme="majorBidi"/>
      <w:color w:val="272727" w:themeColor="text1" w:themeTint="D8"/>
    </w:rPr>
  </w:style>
  <w:style w:type="paragraph" w:styleId="Title">
    <w:name w:val="Title"/>
    <w:basedOn w:val="Normal"/>
    <w:next w:val="Normal"/>
    <w:link w:val="TitleChar"/>
    <w:uiPriority w:val="10"/>
    <w:qFormat/>
    <w:rsid w:val="00DE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624"/>
    <w:pPr>
      <w:spacing w:before="160"/>
      <w:jc w:val="center"/>
    </w:pPr>
    <w:rPr>
      <w:i/>
      <w:iCs/>
      <w:color w:val="404040" w:themeColor="text1" w:themeTint="BF"/>
    </w:rPr>
  </w:style>
  <w:style w:type="character" w:customStyle="1" w:styleId="QuoteChar">
    <w:name w:val="Quote Char"/>
    <w:basedOn w:val="DefaultParagraphFont"/>
    <w:link w:val="Quote"/>
    <w:uiPriority w:val="29"/>
    <w:rsid w:val="00DE5624"/>
    <w:rPr>
      <w:i/>
      <w:iCs/>
      <w:color w:val="404040" w:themeColor="text1" w:themeTint="BF"/>
    </w:rPr>
  </w:style>
  <w:style w:type="paragraph" w:styleId="ListParagraph">
    <w:name w:val="List Paragraph"/>
    <w:basedOn w:val="Normal"/>
    <w:uiPriority w:val="63"/>
    <w:qFormat/>
    <w:rsid w:val="00DE5624"/>
    <w:pPr>
      <w:ind w:left="720"/>
      <w:contextualSpacing/>
    </w:pPr>
  </w:style>
  <w:style w:type="character" w:styleId="IntenseEmphasis">
    <w:name w:val="Intense Emphasis"/>
    <w:basedOn w:val="DefaultParagraphFont"/>
    <w:uiPriority w:val="21"/>
    <w:qFormat/>
    <w:rsid w:val="00DE5624"/>
    <w:rPr>
      <w:i/>
      <w:iCs/>
      <w:color w:val="0F4761" w:themeColor="accent1" w:themeShade="BF"/>
    </w:rPr>
  </w:style>
  <w:style w:type="paragraph" w:styleId="IntenseQuote">
    <w:name w:val="Intense Quote"/>
    <w:basedOn w:val="Normal"/>
    <w:next w:val="Normal"/>
    <w:link w:val="IntenseQuoteChar"/>
    <w:uiPriority w:val="30"/>
    <w:qFormat/>
    <w:rsid w:val="00DE5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624"/>
    <w:rPr>
      <w:i/>
      <w:iCs/>
      <w:color w:val="0F4761" w:themeColor="accent1" w:themeShade="BF"/>
    </w:rPr>
  </w:style>
  <w:style w:type="character" w:styleId="IntenseReference">
    <w:name w:val="Intense Reference"/>
    <w:basedOn w:val="DefaultParagraphFont"/>
    <w:uiPriority w:val="32"/>
    <w:qFormat/>
    <w:rsid w:val="00DE5624"/>
    <w:rPr>
      <w:b/>
      <w:bCs/>
      <w:smallCaps/>
      <w:color w:val="0F4761" w:themeColor="accent1" w:themeShade="BF"/>
      <w:spacing w:val="5"/>
    </w:rPr>
  </w:style>
  <w:style w:type="character" w:styleId="Hyperlink">
    <w:name w:val="Hyperlink"/>
    <w:uiPriority w:val="99"/>
    <w:unhideWhenUsed/>
    <w:rsid w:val="00DE5624"/>
    <w:rPr>
      <w:color w:val="0000FF"/>
      <w:u w:val="single"/>
    </w:rPr>
  </w:style>
  <w:style w:type="paragraph" w:styleId="FootnoteText">
    <w:name w:val="footnote text"/>
    <w:aliases w:val="5_G"/>
    <w:basedOn w:val="Normal"/>
    <w:link w:val="FootnoteTextChar"/>
    <w:uiPriority w:val="99"/>
    <w:unhideWhenUsed/>
    <w:qFormat/>
    <w:rsid w:val="00DE5624"/>
    <w:rPr>
      <w:sz w:val="20"/>
      <w:szCs w:val="20"/>
    </w:rPr>
  </w:style>
  <w:style w:type="character" w:customStyle="1" w:styleId="FootnoteTextChar">
    <w:name w:val="Footnote Text Char"/>
    <w:aliases w:val="5_G Char"/>
    <w:basedOn w:val="DefaultParagraphFont"/>
    <w:link w:val="FootnoteText"/>
    <w:uiPriority w:val="99"/>
    <w:rsid w:val="00DE5624"/>
    <w:rPr>
      <w:rFonts w:ascii="Calibri" w:eastAsia="Calibri" w:hAnsi="Calibri" w:cs="Times New Roman"/>
      <w:kern w:val="0"/>
      <w:sz w:val="20"/>
      <w:szCs w:val="20"/>
      <w:lang w:val="en-GB" w:eastAsia="en-US"/>
      <w14:ligatures w14:val="none"/>
    </w:rPr>
  </w:style>
  <w:style w:type="character" w:styleId="FootnoteReference">
    <w:name w:val="footnote reference"/>
    <w:aliases w:val="4_G,Ref. de nota al pie 2,Footnotes refss,Texto de nota al pie,Appel note de bas de page,Footnote number,referencia nota al pie,BVI fnr,f,16 Point,Superscript 6 Point,Texto nota al pie,julio,Footnote Reference Char3,ftref,Ref,ftre,R"/>
    <w:unhideWhenUsed/>
    <w:qFormat/>
    <w:rsid w:val="00DE5624"/>
    <w:rPr>
      <w:vertAlign w:val="superscript"/>
    </w:rPr>
  </w:style>
  <w:style w:type="paragraph" w:styleId="Footer">
    <w:name w:val="footer"/>
    <w:basedOn w:val="Normal"/>
    <w:link w:val="FooterChar"/>
    <w:uiPriority w:val="99"/>
    <w:unhideWhenUsed/>
    <w:rsid w:val="00DE5624"/>
    <w:pPr>
      <w:tabs>
        <w:tab w:val="center" w:pos="4513"/>
        <w:tab w:val="right" w:pos="9026"/>
      </w:tabs>
    </w:pPr>
  </w:style>
  <w:style w:type="character" w:customStyle="1" w:styleId="FooterChar">
    <w:name w:val="Footer Char"/>
    <w:basedOn w:val="DefaultParagraphFont"/>
    <w:link w:val="Footer"/>
    <w:uiPriority w:val="99"/>
    <w:rsid w:val="00DE5624"/>
    <w:rPr>
      <w:rFonts w:ascii="Calibri" w:eastAsia="Calibri" w:hAnsi="Calibri" w:cs="Times New Roman"/>
      <w:kern w:val="0"/>
      <w:sz w:val="22"/>
      <w:szCs w:val="22"/>
      <w:lang w:val="en-GB" w:eastAsia="en-US"/>
      <w14:ligatures w14:val="none"/>
    </w:rPr>
  </w:style>
  <w:style w:type="paragraph" w:styleId="NoSpacing">
    <w:name w:val="No Spacing"/>
    <w:uiPriority w:val="1"/>
    <w:qFormat/>
    <w:rsid w:val="00DE5624"/>
    <w:pPr>
      <w:spacing w:after="0" w:line="240" w:lineRule="auto"/>
    </w:pPr>
    <w:rPr>
      <w:rFonts w:ascii="Calibri" w:eastAsia="Calibri" w:hAnsi="Calibri" w:cs="Times New Roman"/>
      <w:kern w:val="0"/>
      <w:sz w:val="22"/>
      <w:szCs w:val="22"/>
      <w:lang w:val="en-GB" w:eastAsia="en-US"/>
      <w14:ligatures w14:val="none"/>
    </w:rPr>
  </w:style>
  <w:style w:type="character" w:customStyle="1" w:styleId="ui-provider">
    <w:name w:val="ui-provider"/>
    <w:basedOn w:val="DefaultParagraphFont"/>
    <w:rsid w:val="00DE5624"/>
  </w:style>
  <w:style w:type="character" w:styleId="FollowedHyperlink">
    <w:name w:val="FollowedHyperlink"/>
    <w:basedOn w:val="DefaultParagraphFont"/>
    <w:uiPriority w:val="99"/>
    <w:semiHidden/>
    <w:unhideWhenUsed/>
    <w:rsid w:val="00DE5624"/>
    <w:rPr>
      <w:color w:val="96607D" w:themeColor="followedHyperlink"/>
      <w:u w:val="single"/>
    </w:rPr>
  </w:style>
  <w:style w:type="paragraph" w:styleId="Header">
    <w:name w:val="header"/>
    <w:basedOn w:val="Normal"/>
    <w:link w:val="HeaderChar"/>
    <w:uiPriority w:val="99"/>
    <w:unhideWhenUsed/>
    <w:rsid w:val="00DA6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158"/>
    <w:rPr>
      <w:rFonts w:ascii="Calibri" w:eastAsia="Calibri" w:hAnsi="Calibri" w:cs="Times New Roman"/>
      <w:kern w:val="0"/>
      <w:sz w:val="22"/>
      <w:szCs w:val="22"/>
      <w:lang w:val="en-GB" w:eastAsia="en-US"/>
      <w14:ligatures w14:val="none"/>
    </w:rPr>
  </w:style>
  <w:style w:type="paragraph" w:styleId="Revision">
    <w:name w:val="Revision"/>
    <w:hidden/>
    <w:uiPriority w:val="99"/>
    <w:semiHidden/>
    <w:rsid w:val="000E7492"/>
    <w:pPr>
      <w:spacing w:after="0" w:line="240" w:lineRule="auto"/>
    </w:pPr>
    <w:rPr>
      <w:rFonts w:ascii="Calibri" w:eastAsia="Calibri" w:hAnsi="Calibri" w:cs="Times New Roman"/>
      <w:kern w:val="0"/>
      <w:sz w:val="22"/>
      <w:szCs w:val="22"/>
      <w:lang w:val="en-GB" w:eastAsia="en-US"/>
      <w14:ligatures w14:val="none"/>
    </w:rPr>
  </w:style>
  <w:style w:type="character" w:styleId="UnresolvedMention">
    <w:name w:val="Unresolved Mention"/>
    <w:basedOn w:val="DefaultParagraphFont"/>
    <w:uiPriority w:val="99"/>
    <w:semiHidden/>
    <w:unhideWhenUsed/>
    <w:rsid w:val="004B68A3"/>
    <w:rPr>
      <w:color w:val="605E5C"/>
      <w:shd w:val="clear" w:color="auto" w:fill="E1DFDD"/>
    </w:rPr>
  </w:style>
  <w:style w:type="character" w:styleId="CommentReference">
    <w:name w:val="annotation reference"/>
    <w:basedOn w:val="DefaultParagraphFont"/>
    <w:uiPriority w:val="99"/>
    <w:semiHidden/>
    <w:unhideWhenUsed/>
    <w:rsid w:val="00F732B3"/>
    <w:rPr>
      <w:sz w:val="16"/>
      <w:szCs w:val="16"/>
    </w:rPr>
  </w:style>
  <w:style w:type="paragraph" w:styleId="CommentText">
    <w:name w:val="annotation text"/>
    <w:basedOn w:val="Normal"/>
    <w:link w:val="CommentTextChar"/>
    <w:uiPriority w:val="99"/>
    <w:unhideWhenUsed/>
    <w:rsid w:val="00F732B3"/>
    <w:pPr>
      <w:spacing w:line="240" w:lineRule="auto"/>
    </w:pPr>
    <w:rPr>
      <w:sz w:val="20"/>
      <w:szCs w:val="20"/>
    </w:rPr>
  </w:style>
  <w:style w:type="character" w:customStyle="1" w:styleId="CommentTextChar">
    <w:name w:val="Comment Text Char"/>
    <w:basedOn w:val="DefaultParagraphFont"/>
    <w:link w:val="CommentText"/>
    <w:uiPriority w:val="99"/>
    <w:rsid w:val="00F732B3"/>
    <w:rPr>
      <w:rFonts w:ascii="Calibri" w:eastAsia="Calibri" w:hAnsi="Calibri"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F732B3"/>
    <w:rPr>
      <w:b/>
      <w:bCs/>
    </w:rPr>
  </w:style>
  <w:style w:type="character" w:customStyle="1" w:styleId="CommentSubjectChar">
    <w:name w:val="Comment Subject Char"/>
    <w:basedOn w:val="CommentTextChar"/>
    <w:link w:val="CommentSubject"/>
    <w:uiPriority w:val="99"/>
    <w:semiHidden/>
    <w:rsid w:val="00F732B3"/>
    <w:rPr>
      <w:rFonts w:ascii="Calibri" w:eastAsia="Calibri" w:hAnsi="Calibri" w:cs="Times New Roman"/>
      <w:b/>
      <w:bCs/>
      <w:kern w:val="0"/>
      <w:sz w:val="20"/>
      <w:szCs w:val="20"/>
      <w:lang w:val="en-GB" w:eastAsia="en-US"/>
      <w14:ligatures w14:val="none"/>
    </w:rPr>
  </w:style>
  <w:style w:type="paragraph" w:styleId="NormalWeb">
    <w:name w:val="Normal (Web)"/>
    <w:basedOn w:val="Normal"/>
    <w:uiPriority w:val="99"/>
    <w:semiHidden/>
    <w:unhideWhenUsed/>
    <w:rsid w:val="00A04E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3120">
      <w:bodyDiv w:val="1"/>
      <w:marLeft w:val="0"/>
      <w:marRight w:val="0"/>
      <w:marTop w:val="0"/>
      <w:marBottom w:val="0"/>
      <w:divBdr>
        <w:top w:val="none" w:sz="0" w:space="0" w:color="auto"/>
        <w:left w:val="none" w:sz="0" w:space="0" w:color="auto"/>
        <w:bottom w:val="none" w:sz="0" w:space="0" w:color="auto"/>
        <w:right w:val="none" w:sz="0" w:space="0" w:color="auto"/>
      </w:divBdr>
    </w:div>
    <w:div w:id="6277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eamtext.net/player?event=CFI-UNOG" TargetMode="External"/><Relationship Id="rId18" Type="http://schemas.openxmlformats.org/officeDocument/2006/relationships/hyperlink" Target="https://docs.un.org/A/HRC/RES/54/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cs.un.org/A/HRC/58/43" TargetMode="External"/><Relationship Id="rId7" Type="http://schemas.openxmlformats.org/officeDocument/2006/relationships/settings" Target="settings.xml"/><Relationship Id="rId12" Type="http://schemas.openxmlformats.org/officeDocument/2006/relationships/hyperlink" Target="https://undocs.org/Home/Mobile?FinalSymbol=A%2FHRC%2FRES%2F55%2F8&amp;Language=E&amp;DeviceType=Desktop&amp;LangRequested=False" TargetMode="External"/><Relationship Id="rId17" Type="http://schemas.openxmlformats.org/officeDocument/2006/relationships/hyperlink" Target="https://docs.un.org/A/HRC/58/43" TargetMode="External"/><Relationship Id="rId25" Type="http://schemas.openxmlformats.org/officeDocument/2006/relationships/hyperlink" Target="https://www.ohchr.org/en/topic/care-and-support" TargetMode="External"/><Relationship Id="rId2" Type="http://schemas.openxmlformats.org/officeDocument/2006/relationships/customXml" Target="../customXml/item2.xml"/><Relationship Id="rId16" Type="http://schemas.openxmlformats.org/officeDocument/2006/relationships/hyperlink" Target="https://undocs.org/A/HRC/58/33" TargetMode="External"/><Relationship Id="rId20" Type="http://schemas.openxmlformats.org/officeDocument/2006/relationships/hyperlink" Target="https://undocs.org/A/HRC/58/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24" Type="http://schemas.openxmlformats.org/officeDocument/2006/relationships/hyperlink" Target="http://www.ohchr.org/EN/Issues/Disability/Pages/StudiesReportsPapers.aspx" TargetMode="External"/><Relationship Id="rId5" Type="http://schemas.openxmlformats.org/officeDocument/2006/relationships/numbering" Target="numbering.xml"/><Relationship Id="rId15" Type="http://schemas.openxmlformats.org/officeDocument/2006/relationships/hyperlink" Target="https://docs.un.org/A/HRC/RES/55/8" TargetMode="External"/><Relationship Id="rId23" Type="http://schemas.openxmlformats.org/officeDocument/2006/relationships/hyperlink" Target="http://undocs.org/A/HRC/52/5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undocs.org/A/HRC/61/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hrc/accessibility" TargetMode="External"/><Relationship Id="rId22" Type="http://schemas.openxmlformats.org/officeDocument/2006/relationships/hyperlink" Target="https://www.ohchr.org/en/documents/thematic-reports/ahrc5534-good-practices-support-systems-enabling-community-inclusio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documents/thematic-reports/ahrc6132-disability-inclusive-infrastructure-including-transpor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369ED-213C-47F5-AB80-F14F42FE3D01}"/>
</file>

<file path=customXml/itemProps2.xml><?xml version="1.0" encoding="utf-8"?>
<ds:datastoreItem xmlns:ds="http://schemas.openxmlformats.org/officeDocument/2006/customXml" ds:itemID="{D5B4313D-B870-49F6-9603-F29952FB205F}">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customXml/itemProps3.xml><?xml version="1.0" encoding="utf-8"?>
<ds:datastoreItem xmlns:ds="http://schemas.openxmlformats.org/officeDocument/2006/customXml" ds:itemID="{E7E7862A-BDB6-43E3-8519-B36114D4179E}">
  <ds:schemaRefs>
    <ds:schemaRef ds:uri="http://schemas.microsoft.com/sharepoint/v3/contenttype/forms"/>
  </ds:schemaRefs>
</ds:datastoreItem>
</file>

<file path=customXml/itemProps4.xml><?xml version="1.0" encoding="utf-8"?>
<ds:datastoreItem xmlns:ds="http://schemas.openxmlformats.org/officeDocument/2006/customXml" ds:itemID="{CBDB6A25-A27B-4EE5-9EB7-7965E557E9E7}">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57</TotalTime>
  <Pages>3</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Balciunaite</dc:creator>
  <cp:keywords/>
  <dc:description/>
  <cp:lastModifiedBy>Petra Ticha</cp:lastModifiedBy>
  <cp:revision>52</cp:revision>
  <dcterms:created xsi:type="dcterms:W3CDTF">2026-01-06T21:29:00Z</dcterms:created>
  <dcterms:modified xsi:type="dcterms:W3CDTF">2026-03-06T11:07:00Z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0x0101005AEAB9300D60AF489460A39DF253F821</vt:lpwstr>
  </property>
</Properties>
</file>