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F785" w14:textId="2A107DB2" w:rsidR="00D57F42" w:rsidRPr="005545A4" w:rsidRDefault="00356EBE" w:rsidP="00122628">
      <w:pPr>
        <w:spacing w:after="240" w:line="240" w:lineRule="auto"/>
        <w:ind w:left="-284" w:right="-330"/>
        <w:jc w:val="center"/>
        <w:rPr>
          <w:rFonts w:asciiTheme="minorHAnsi" w:hAnsiTheme="minorHAnsi" w:cstheme="minorHAnsi"/>
          <w:b/>
          <w:sz w:val="23"/>
          <w:szCs w:val="23"/>
        </w:rPr>
      </w:pPr>
      <w:r>
        <w:rPr>
          <w:rFonts w:asciiTheme="minorHAnsi" w:hAnsiTheme="minorHAnsi" w:cstheme="minorHAnsi"/>
          <w:b/>
          <w:sz w:val="23"/>
          <w:szCs w:val="23"/>
        </w:rPr>
        <w:t>61</w:t>
      </w:r>
      <w:r w:rsidR="00B82256">
        <w:rPr>
          <w:rFonts w:asciiTheme="minorHAnsi" w:hAnsiTheme="minorHAnsi" w:cstheme="minorHAnsi"/>
          <w:b/>
          <w:sz w:val="23"/>
          <w:szCs w:val="23"/>
        </w:rPr>
        <w:t>st</w:t>
      </w:r>
      <w:r>
        <w:rPr>
          <w:rFonts w:asciiTheme="minorHAnsi" w:hAnsiTheme="minorHAnsi" w:cstheme="minorHAnsi"/>
          <w:b/>
          <w:sz w:val="23"/>
          <w:szCs w:val="23"/>
        </w:rPr>
        <w:t xml:space="preserve"> </w:t>
      </w:r>
      <w:r w:rsidR="00D57F42" w:rsidRPr="005545A4">
        <w:rPr>
          <w:rFonts w:asciiTheme="minorHAnsi" w:hAnsiTheme="minorHAnsi" w:cstheme="minorHAnsi"/>
          <w:b/>
          <w:sz w:val="23"/>
          <w:szCs w:val="23"/>
        </w:rPr>
        <w:t>session of the Human Rights Council</w:t>
      </w:r>
    </w:p>
    <w:p w14:paraId="069A785F" w14:textId="4DD7F2B0" w:rsidR="00D57F42" w:rsidRPr="00D1466A" w:rsidRDefault="002F2FBB" w:rsidP="00122628">
      <w:pPr>
        <w:spacing w:after="240" w:line="240" w:lineRule="auto"/>
        <w:ind w:left="-284" w:right="-330"/>
        <w:jc w:val="center"/>
        <w:rPr>
          <w:b/>
          <w:bCs/>
          <w:sz w:val="26"/>
          <w:szCs w:val="26"/>
        </w:rPr>
      </w:pPr>
      <w:r w:rsidRPr="002F2FBB">
        <w:rPr>
          <w:b/>
          <w:bCs/>
          <w:sz w:val="26"/>
          <w:szCs w:val="26"/>
        </w:rPr>
        <w:t>High-level panel discussion on the commemoration of the twenty-fifth anniversary of the adoption of the Durban Declaration and Programme of Action</w:t>
      </w:r>
    </w:p>
    <w:p w14:paraId="33367F07" w14:textId="32B2972D" w:rsidR="00D57F42" w:rsidRPr="005545A4" w:rsidRDefault="00D57F42" w:rsidP="00122628">
      <w:pPr>
        <w:spacing w:before="120" w:after="240" w:line="240" w:lineRule="auto"/>
        <w:ind w:left="-284" w:right="-329"/>
        <w:jc w:val="center"/>
        <w:rPr>
          <w:rFonts w:asciiTheme="minorHAnsi" w:hAnsiTheme="minorHAnsi" w:cstheme="minorHAnsi"/>
          <w:i/>
          <w:sz w:val="23"/>
          <w:szCs w:val="23"/>
        </w:rPr>
      </w:pPr>
      <w:r w:rsidRPr="005545A4">
        <w:rPr>
          <w:rFonts w:asciiTheme="minorHAnsi" w:hAnsiTheme="minorHAnsi" w:cstheme="minorHAnsi"/>
          <w:i/>
          <w:sz w:val="23"/>
          <w:szCs w:val="23"/>
        </w:rPr>
        <w:t xml:space="preserve">Concept note </w:t>
      </w:r>
      <w:r w:rsidR="00B82256">
        <w:rPr>
          <w:rFonts w:asciiTheme="minorHAnsi" w:hAnsiTheme="minorHAnsi" w:cstheme="minorHAnsi"/>
          <w:i/>
          <w:sz w:val="23"/>
          <w:szCs w:val="23"/>
        </w:rPr>
        <w:t xml:space="preserve">(as of </w:t>
      </w:r>
      <w:r w:rsidR="002D194B">
        <w:rPr>
          <w:rFonts w:asciiTheme="minorHAnsi" w:hAnsiTheme="minorHAnsi" w:cstheme="minorHAnsi"/>
          <w:i/>
          <w:sz w:val="23"/>
          <w:szCs w:val="23"/>
        </w:rPr>
        <w:t>23</w:t>
      </w:r>
      <w:r w:rsidR="00982148">
        <w:rPr>
          <w:rFonts w:asciiTheme="minorHAnsi" w:hAnsiTheme="minorHAnsi" w:cstheme="minorHAnsi"/>
          <w:i/>
          <w:sz w:val="23"/>
          <w:szCs w:val="23"/>
        </w:rPr>
        <w:t xml:space="preserve"> February</w:t>
      </w:r>
      <w:r w:rsidR="00B82256">
        <w:rPr>
          <w:rFonts w:asciiTheme="minorHAnsi" w:hAnsiTheme="minorHAnsi" w:cstheme="minorHAnsi"/>
          <w:i/>
          <w:sz w:val="23"/>
          <w:szCs w:val="23"/>
        </w:rPr>
        <w:t xml:space="preserve"> 2026)</w:t>
      </w:r>
    </w:p>
    <w:tbl>
      <w:tblPr>
        <w:tblW w:w="10632" w:type="dxa"/>
        <w:tblInd w:w="-885" w:type="dxa"/>
        <w:tblLayout w:type="fixed"/>
        <w:tblLook w:val="04A0" w:firstRow="1" w:lastRow="0" w:firstColumn="1" w:lastColumn="0" w:noHBand="0" w:noVBand="1"/>
      </w:tblPr>
      <w:tblGrid>
        <w:gridCol w:w="1452"/>
        <w:gridCol w:w="9134"/>
        <w:gridCol w:w="46"/>
      </w:tblGrid>
      <w:tr w:rsidR="00D57F42" w:rsidRPr="001511B7" w14:paraId="78F3C056" w14:textId="77777777" w:rsidTr="00B05DE1">
        <w:trPr>
          <w:trHeight w:val="263"/>
        </w:trPr>
        <w:tc>
          <w:tcPr>
            <w:tcW w:w="1452" w:type="dxa"/>
          </w:tcPr>
          <w:p w14:paraId="4CB3EE42" w14:textId="77777777" w:rsidR="00D57F42" w:rsidRPr="001511B7" w:rsidRDefault="00D57F42" w:rsidP="00122628">
            <w:pPr>
              <w:spacing w:after="0" w:line="240" w:lineRule="auto"/>
              <w:rPr>
                <w:rFonts w:cs="Calibri"/>
                <w:b/>
                <w:color w:val="000000"/>
              </w:rPr>
            </w:pPr>
            <w:r w:rsidRPr="001511B7">
              <w:rPr>
                <w:rFonts w:cs="Calibri"/>
                <w:b/>
                <w:color w:val="000000"/>
              </w:rPr>
              <w:t xml:space="preserve">Date </w:t>
            </w:r>
          </w:p>
          <w:p w14:paraId="2DC83517" w14:textId="77777777" w:rsidR="00D57F42" w:rsidRPr="001511B7" w:rsidRDefault="00D57F42" w:rsidP="00122628">
            <w:pPr>
              <w:spacing w:after="0" w:line="240" w:lineRule="auto"/>
              <w:rPr>
                <w:rFonts w:cs="Calibri"/>
                <w:b/>
                <w:color w:val="000000"/>
              </w:rPr>
            </w:pPr>
            <w:r w:rsidRPr="001511B7">
              <w:rPr>
                <w:rFonts w:cs="Calibri"/>
                <w:b/>
                <w:color w:val="000000"/>
              </w:rPr>
              <w:t>and venue:</w:t>
            </w:r>
          </w:p>
        </w:tc>
        <w:tc>
          <w:tcPr>
            <w:tcW w:w="9180" w:type="dxa"/>
            <w:gridSpan w:val="2"/>
          </w:tcPr>
          <w:p w14:paraId="74A98865" w14:textId="73EB0888" w:rsidR="00D57F42" w:rsidRPr="00BE745C" w:rsidRDefault="008A7925" w:rsidP="00122628">
            <w:pPr>
              <w:pStyle w:val="NoSpacing"/>
              <w:rPr>
                <w:i/>
                <w:iCs/>
              </w:rPr>
            </w:pPr>
            <w:r>
              <w:rPr>
                <w:b/>
                <w:bCs/>
              </w:rPr>
              <w:t>Tuesday</w:t>
            </w:r>
            <w:r w:rsidR="00D57F42" w:rsidRPr="00EF6A02">
              <w:rPr>
                <w:b/>
                <w:bCs/>
              </w:rPr>
              <w:t xml:space="preserve">, </w:t>
            </w:r>
            <w:r w:rsidR="00C55406">
              <w:rPr>
                <w:b/>
                <w:bCs/>
              </w:rPr>
              <w:t>2</w:t>
            </w:r>
            <w:r>
              <w:rPr>
                <w:b/>
                <w:bCs/>
              </w:rPr>
              <w:t>4</w:t>
            </w:r>
            <w:r w:rsidR="00D57F42" w:rsidRPr="00EF6A02">
              <w:rPr>
                <w:b/>
                <w:bCs/>
              </w:rPr>
              <w:t xml:space="preserve"> </w:t>
            </w:r>
            <w:r w:rsidR="00382BC6">
              <w:rPr>
                <w:b/>
                <w:bCs/>
              </w:rPr>
              <w:t xml:space="preserve">February </w:t>
            </w:r>
            <w:r w:rsidR="00D57F42" w:rsidRPr="00EF6A02">
              <w:rPr>
                <w:b/>
                <w:bCs/>
              </w:rPr>
              <w:t>202</w:t>
            </w:r>
            <w:r w:rsidR="00C32F01">
              <w:rPr>
                <w:b/>
                <w:bCs/>
              </w:rPr>
              <w:t>6</w:t>
            </w:r>
            <w:r w:rsidR="00E87AC3">
              <w:rPr>
                <w:b/>
                <w:bCs/>
              </w:rPr>
              <w:t xml:space="preserve">, </w:t>
            </w:r>
            <w:r w:rsidR="00356C2B">
              <w:rPr>
                <w:b/>
                <w:bCs/>
              </w:rPr>
              <w:t>9.30</w:t>
            </w:r>
            <w:r w:rsidR="0045168C" w:rsidRPr="00F91F3E">
              <w:rPr>
                <w:rFonts w:cs="Arial"/>
                <w:b/>
                <w:bCs/>
                <w:sz w:val="23"/>
                <w:szCs w:val="23"/>
              </w:rPr>
              <w:t>–</w:t>
            </w:r>
            <w:r w:rsidR="00CF5D65">
              <w:rPr>
                <w:rFonts w:cs="Arial"/>
                <w:b/>
                <w:bCs/>
                <w:sz w:val="23"/>
                <w:szCs w:val="23"/>
              </w:rPr>
              <w:t>11.30 a</w:t>
            </w:r>
            <w:r w:rsidR="0045168C">
              <w:rPr>
                <w:rFonts w:cs="Arial"/>
                <w:b/>
                <w:bCs/>
                <w:sz w:val="23"/>
                <w:szCs w:val="23"/>
              </w:rPr>
              <w:t xml:space="preserve">.m. </w:t>
            </w:r>
          </w:p>
          <w:p w14:paraId="26E2911D" w14:textId="672CB2C7" w:rsidR="00D57F42" w:rsidRPr="00EF6A02" w:rsidRDefault="00063A15" w:rsidP="00122628">
            <w:pPr>
              <w:pStyle w:val="NoSpacing"/>
              <w:rPr>
                <w:b/>
                <w:bCs/>
              </w:rPr>
            </w:pPr>
            <w:r>
              <w:rPr>
                <w:b/>
                <w:bCs/>
              </w:rPr>
              <w:t xml:space="preserve">Assembly Hall, </w:t>
            </w:r>
            <w:r w:rsidR="00D57F42" w:rsidRPr="00EF6A02">
              <w:rPr>
                <w:b/>
                <w:bCs/>
              </w:rPr>
              <w:t>Palais des Nations, Geneva</w:t>
            </w:r>
          </w:p>
          <w:p w14:paraId="5CE5DA47" w14:textId="30A6DE49" w:rsidR="00D57F42" w:rsidRPr="00AE58BC" w:rsidRDefault="00D57F42" w:rsidP="00122628">
            <w:pPr>
              <w:spacing w:after="240" w:line="240" w:lineRule="auto"/>
              <w:rPr>
                <w:rFonts w:asciiTheme="minorHAnsi" w:hAnsiTheme="minorHAnsi" w:cstheme="minorHAnsi"/>
                <w:i/>
                <w:color w:val="000000" w:themeColor="text1"/>
              </w:rPr>
            </w:pPr>
            <w:r w:rsidRPr="00AE58BC">
              <w:rPr>
                <w:rFonts w:asciiTheme="minorHAnsi" w:hAnsiTheme="minorHAnsi" w:cstheme="minorHAnsi"/>
                <w:i/>
              </w:rPr>
              <w:t>(</w:t>
            </w:r>
            <w:r w:rsidR="00D605B3">
              <w:rPr>
                <w:rFonts w:asciiTheme="minorHAnsi" w:hAnsiTheme="minorHAnsi" w:cstheme="minorHAnsi"/>
                <w:i/>
              </w:rPr>
              <w:t>b</w:t>
            </w:r>
            <w:r w:rsidRPr="00AE58BC">
              <w:rPr>
                <w:rFonts w:asciiTheme="minorHAnsi" w:hAnsiTheme="minorHAnsi" w:cstheme="minorHAnsi"/>
                <w:i/>
              </w:rPr>
              <w:t xml:space="preserve">roadcast live and archived at </w:t>
            </w:r>
            <w:hyperlink r:id="rId10" w:history="1">
              <w:r w:rsidRPr="00AE58BC">
                <w:rPr>
                  <w:rStyle w:val="Hyperlink"/>
                  <w:rFonts w:asciiTheme="minorHAnsi" w:hAnsiTheme="minorHAnsi" w:cstheme="minorHAnsi"/>
                  <w:i/>
                </w:rPr>
                <w:t>https://webtv.un.org</w:t>
              </w:r>
            </w:hyperlink>
            <w:r w:rsidRPr="0090199D">
              <w:rPr>
                <w:rStyle w:val="Hyperlink"/>
                <w:rFonts w:asciiTheme="minorHAnsi" w:hAnsiTheme="minorHAnsi" w:cstheme="minorHAnsi"/>
                <w:i/>
                <w:color w:val="000000" w:themeColor="text1"/>
                <w:u w:val="none"/>
              </w:rPr>
              <w:t>)</w:t>
            </w:r>
          </w:p>
        </w:tc>
      </w:tr>
      <w:tr w:rsidR="00D57F42" w:rsidRPr="001511B7" w14:paraId="4E28F6DA" w14:textId="77777777" w:rsidTr="00B05DE1">
        <w:trPr>
          <w:trHeight w:val="882"/>
        </w:trPr>
        <w:tc>
          <w:tcPr>
            <w:tcW w:w="1452" w:type="dxa"/>
          </w:tcPr>
          <w:p w14:paraId="3A26AEAF" w14:textId="77777777" w:rsidR="00D57F42" w:rsidRPr="001511B7" w:rsidRDefault="00D57F42" w:rsidP="00122628">
            <w:pPr>
              <w:spacing w:after="240" w:line="240" w:lineRule="auto"/>
              <w:rPr>
                <w:rFonts w:cs="Calibri"/>
                <w:b/>
                <w:color w:val="000000"/>
              </w:rPr>
            </w:pPr>
            <w:r w:rsidRPr="001511B7">
              <w:rPr>
                <w:rFonts w:cs="Calibri"/>
                <w:b/>
                <w:color w:val="000000"/>
              </w:rPr>
              <w:t xml:space="preserve">Objectives: </w:t>
            </w:r>
          </w:p>
        </w:tc>
        <w:tc>
          <w:tcPr>
            <w:tcW w:w="9180" w:type="dxa"/>
            <w:gridSpan w:val="2"/>
          </w:tcPr>
          <w:p w14:paraId="79084AC2" w14:textId="07AADED2" w:rsidR="00D57F42" w:rsidRPr="00F9440A" w:rsidRDefault="00D57F42" w:rsidP="00122628">
            <w:pPr>
              <w:spacing w:after="240" w:line="240" w:lineRule="auto"/>
              <w:jc w:val="both"/>
            </w:pPr>
            <w:r w:rsidRPr="005118F4">
              <w:t>The panel discussion will focus on</w:t>
            </w:r>
            <w:r w:rsidR="00FC1C51">
              <w:t xml:space="preserve"> </w:t>
            </w:r>
            <w:r w:rsidR="001530C3">
              <w:t>galvani</w:t>
            </w:r>
            <w:r w:rsidR="00935800">
              <w:t>z</w:t>
            </w:r>
            <w:r w:rsidR="001530C3">
              <w:t xml:space="preserve">ing </w:t>
            </w:r>
            <w:r w:rsidR="00926537">
              <w:t>support for the full and effective implementation of the Durban Declaration and Programme of Action</w:t>
            </w:r>
            <w:r w:rsidR="004E7FB6">
              <w:t xml:space="preserve"> (DDPA)</w:t>
            </w:r>
            <w:r w:rsidR="00926537">
              <w:t xml:space="preserve">. </w:t>
            </w:r>
            <w:r w:rsidR="00336F6E" w:rsidRPr="00336F6E">
              <w:t xml:space="preserve">The </w:t>
            </w:r>
            <w:r w:rsidR="007C5C2B">
              <w:t>discussion</w:t>
            </w:r>
            <w:r w:rsidR="007C5C2B" w:rsidRPr="00336F6E">
              <w:t xml:space="preserve"> </w:t>
            </w:r>
            <w:r w:rsidR="00336F6E" w:rsidRPr="00336F6E">
              <w:t xml:space="preserve">will explore why and in what ways the DDPA </w:t>
            </w:r>
            <w:r w:rsidR="00691980">
              <w:t>has persistent</w:t>
            </w:r>
            <w:r w:rsidR="00691980" w:rsidRPr="00336F6E">
              <w:t xml:space="preserve"> </w:t>
            </w:r>
            <w:r w:rsidR="00336F6E" w:rsidRPr="00336F6E">
              <w:t>relevan</w:t>
            </w:r>
            <w:r w:rsidR="00691980">
              <w:t>ce</w:t>
            </w:r>
            <w:r w:rsidR="00336F6E" w:rsidRPr="00336F6E">
              <w:t xml:space="preserve"> today, global challenges in combating racism and </w:t>
            </w:r>
            <w:r w:rsidR="00D80E45">
              <w:t xml:space="preserve">racial </w:t>
            </w:r>
            <w:r w:rsidR="00336F6E" w:rsidRPr="00336F6E">
              <w:t xml:space="preserve">discrimination, and how public support can transform commitments into tangible change. It will highlight the interconnectedness of </w:t>
            </w:r>
            <w:r w:rsidR="00D80E45">
              <w:t>different</w:t>
            </w:r>
            <w:r w:rsidR="00336F6E" w:rsidRPr="00336F6E">
              <w:t xml:space="preserve"> actors </w:t>
            </w:r>
            <w:r w:rsidR="00D80E45">
              <w:t xml:space="preserve">in supporting change </w:t>
            </w:r>
            <w:r w:rsidR="00336F6E" w:rsidRPr="00336F6E">
              <w:t>and set the stage for further engagement throughout the year</w:t>
            </w:r>
            <w:r w:rsidR="002C1AFE" w:rsidRPr="002C1AFE">
              <w:t>.</w:t>
            </w:r>
          </w:p>
        </w:tc>
      </w:tr>
      <w:tr w:rsidR="00D57F42" w:rsidRPr="001511B7" w14:paraId="0F3108E2" w14:textId="77777777" w:rsidTr="00B05DE1">
        <w:trPr>
          <w:trHeight w:val="70"/>
        </w:trPr>
        <w:tc>
          <w:tcPr>
            <w:tcW w:w="1452" w:type="dxa"/>
          </w:tcPr>
          <w:p w14:paraId="1492E523" w14:textId="77777777" w:rsidR="00D57F42" w:rsidRPr="001511B7" w:rsidRDefault="00D57F42" w:rsidP="00122628">
            <w:pPr>
              <w:spacing w:after="240" w:line="240" w:lineRule="auto"/>
              <w:rPr>
                <w:rFonts w:cs="Calibri"/>
                <w:b/>
                <w:color w:val="000000"/>
              </w:rPr>
            </w:pPr>
            <w:r w:rsidRPr="001511B7">
              <w:rPr>
                <w:rFonts w:cs="Calibri"/>
                <w:b/>
                <w:color w:val="000000"/>
              </w:rPr>
              <w:t>Chair:</w:t>
            </w:r>
          </w:p>
        </w:tc>
        <w:tc>
          <w:tcPr>
            <w:tcW w:w="9180" w:type="dxa"/>
            <w:gridSpan w:val="2"/>
          </w:tcPr>
          <w:p w14:paraId="626D1E52" w14:textId="44EEDD93" w:rsidR="00D57F42" w:rsidRPr="00B00063" w:rsidRDefault="00C14CE4" w:rsidP="00122628">
            <w:pPr>
              <w:spacing w:after="240" w:line="240" w:lineRule="auto"/>
              <w:jc w:val="both"/>
              <w:rPr>
                <w:rFonts w:cs="Calibri"/>
                <w:lang w:val="en-US"/>
              </w:rPr>
            </w:pPr>
            <w:r w:rsidRPr="00C14CE4">
              <w:rPr>
                <w:rFonts w:asciiTheme="minorHAnsi" w:hAnsiTheme="minorHAnsi" w:cstheme="minorHAnsi"/>
                <w:b/>
                <w:bCs/>
              </w:rPr>
              <w:t xml:space="preserve">H.E. Mr. </w:t>
            </w:r>
            <w:proofErr w:type="spellStart"/>
            <w:r w:rsidRPr="00C14CE4">
              <w:rPr>
                <w:rFonts w:asciiTheme="minorHAnsi" w:hAnsiTheme="minorHAnsi" w:cstheme="minorHAnsi"/>
                <w:b/>
                <w:bCs/>
              </w:rPr>
              <w:t>Sidharto</w:t>
            </w:r>
            <w:proofErr w:type="spellEnd"/>
            <w:r w:rsidRPr="00C14CE4">
              <w:rPr>
                <w:rFonts w:asciiTheme="minorHAnsi" w:hAnsiTheme="minorHAnsi" w:cstheme="minorHAnsi"/>
                <w:b/>
                <w:bCs/>
              </w:rPr>
              <w:t xml:space="preserve"> Reza </w:t>
            </w:r>
            <w:r w:rsidR="00B6261B" w:rsidRPr="00C14CE4">
              <w:rPr>
                <w:rFonts w:asciiTheme="minorHAnsi" w:hAnsiTheme="minorHAnsi" w:cstheme="minorHAnsi"/>
                <w:b/>
                <w:bCs/>
              </w:rPr>
              <w:t>Suryodipuro</w:t>
            </w:r>
            <w:r w:rsidR="00B6261B" w:rsidRPr="00B6261B">
              <w:rPr>
                <w:rFonts w:asciiTheme="minorHAnsi" w:hAnsiTheme="minorHAnsi" w:cstheme="minorHAnsi"/>
              </w:rPr>
              <w:t xml:space="preserve">, </w:t>
            </w:r>
            <w:r w:rsidR="00D57F42" w:rsidRPr="00B6261B">
              <w:rPr>
                <w:rFonts w:asciiTheme="minorHAnsi" w:hAnsiTheme="minorHAnsi" w:cstheme="minorHAnsi"/>
              </w:rPr>
              <w:t>President of the Human Rights Council</w:t>
            </w:r>
          </w:p>
        </w:tc>
      </w:tr>
      <w:tr w:rsidR="00D57F42" w:rsidRPr="001511B7" w14:paraId="1C94889A" w14:textId="77777777" w:rsidTr="00B05DE1">
        <w:trPr>
          <w:trHeight w:val="568"/>
        </w:trPr>
        <w:tc>
          <w:tcPr>
            <w:tcW w:w="1452" w:type="dxa"/>
          </w:tcPr>
          <w:p w14:paraId="672E7874" w14:textId="77777777" w:rsidR="00D57F42" w:rsidRPr="001511B7" w:rsidRDefault="00D57F42" w:rsidP="00122628">
            <w:pPr>
              <w:spacing w:after="0" w:line="240" w:lineRule="auto"/>
              <w:rPr>
                <w:rFonts w:cs="Calibri"/>
                <w:b/>
                <w:color w:val="000000"/>
              </w:rPr>
            </w:pPr>
            <w:r w:rsidRPr="001511B7">
              <w:rPr>
                <w:rFonts w:cs="Calibri"/>
                <w:b/>
                <w:color w:val="000000"/>
              </w:rPr>
              <w:t xml:space="preserve">Opening </w:t>
            </w:r>
          </w:p>
          <w:p w14:paraId="7CCFD660" w14:textId="77777777" w:rsidR="00D57F42" w:rsidRPr="001511B7" w:rsidRDefault="00D57F42" w:rsidP="00122628">
            <w:pPr>
              <w:spacing w:after="120" w:line="240" w:lineRule="auto"/>
              <w:rPr>
                <w:rFonts w:cs="Calibri"/>
                <w:b/>
                <w:color w:val="000000"/>
              </w:rPr>
            </w:pPr>
            <w:r w:rsidRPr="001511B7">
              <w:rPr>
                <w:rFonts w:cs="Calibri"/>
                <w:b/>
                <w:color w:val="000000"/>
              </w:rPr>
              <w:t xml:space="preserve">statement: </w:t>
            </w:r>
          </w:p>
        </w:tc>
        <w:tc>
          <w:tcPr>
            <w:tcW w:w="9180" w:type="dxa"/>
            <w:gridSpan w:val="2"/>
          </w:tcPr>
          <w:p w14:paraId="4C6011B7" w14:textId="20B665E8" w:rsidR="00D57F42" w:rsidRPr="00FF6069" w:rsidRDefault="00D57F42" w:rsidP="00122628">
            <w:pPr>
              <w:spacing w:after="240" w:line="240" w:lineRule="auto"/>
              <w:rPr>
                <w:rFonts w:asciiTheme="minorHAnsi" w:hAnsiTheme="minorHAnsi" w:cstheme="minorHAnsi"/>
              </w:rPr>
            </w:pPr>
            <w:r w:rsidRPr="00FF6069">
              <w:rPr>
                <w:rFonts w:asciiTheme="minorHAnsi" w:hAnsiTheme="minorHAnsi" w:cstheme="minorHAnsi"/>
                <w:b/>
                <w:color w:val="000000" w:themeColor="text1"/>
              </w:rPr>
              <w:t>M</w:t>
            </w:r>
            <w:r w:rsidR="009C7D6C">
              <w:rPr>
                <w:rFonts w:asciiTheme="minorHAnsi" w:hAnsiTheme="minorHAnsi" w:cstheme="minorHAnsi"/>
                <w:b/>
                <w:color w:val="000000" w:themeColor="text1"/>
              </w:rPr>
              <w:t>s. Nada Al-</w:t>
            </w:r>
            <w:proofErr w:type="spellStart"/>
            <w:r w:rsidR="00285F7D">
              <w:rPr>
                <w:rFonts w:asciiTheme="minorHAnsi" w:hAnsiTheme="minorHAnsi" w:cstheme="minorHAnsi"/>
                <w:b/>
                <w:color w:val="000000" w:themeColor="text1"/>
              </w:rPr>
              <w:t>Nashif</w:t>
            </w:r>
            <w:proofErr w:type="spellEnd"/>
            <w:r w:rsidRPr="00FF6069">
              <w:rPr>
                <w:rFonts w:asciiTheme="minorHAnsi" w:hAnsiTheme="minorHAnsi" w:cstheme="minorHAnsi"/>
                <w:color w:val="000000" w:themeColor="text1"/>
              </w:rPr>
              <w:t xml:space="preserve">, United Nations </w:t>
            </w:r>
            <w:r w:rsidR="009C7D6C">
              <w:rPr>
                <w:rFonts w:asciiTheme="minorHAnsi" w:hAnsiTheme="minorHAnsi" w:cstheme="minorHAnsi"/>
                <w:color w:val="000000" w:themeColor="text1"/>
              </w:rPr>
              <w:t xml:space="preserve">Deputy </w:t>
            </w:r>
            <w:r w:rsidRPr="00FF6069">
              <w:rPr>
                <w:rFonts w:asciiTheme="minorHAnsi" w:hAnsiTheme="minorHAnsi" w:cstheme="minorHAnsi"/>
                <w:color w:val="000000" w:themeColor="text1"/>
              </w:rPr>
              <w:t>High Commissioner for Human Rights</w:t>
            </w:r>
            <w:r w:rsidR="00997613">
              <w:rPr>
                <w:rFonts w:asciiTheme="minorHAnsi" w:hAnsiTheme="minorHAnsi" w:cstheme="minorHAnsi"/>
                <w:color w:val="000000" w:themeColor="text1"/>
              </w:rPr>
              <w:t xml:space="preserve"> </w:t>
            </w:r>
          </w:p>
        </w:tc>
      </w:tr>
      <w:tr w:rsidR="00D57F42" w:rsidRPr="001511B7" w14:paraId="60A6F6FD" w14:textId="77777777" w:rsidTr="00B05DE1">
        <w:trPr>
          <w:trHeight w:val="59"/>
        </w:trPr>
        <w:tc>
          <w:tcPr>
            <w:tcW w:w="1452" w:type="dxa"/>
          </w:tcPr>
          <w:p w14:paraId="09493DBC" w14:textId="77777777" w:rsidR="00D57F42" w:rsidRPr="0007557B" w:rsidRDefault="00D57F42" w:rsidP="00122628">
            <w:pPr>
              <w:spacing w:after="0" w:line="240" w:lineRule="auto"/>
              <w:rPr>
                <w:rFonts w:cs="Calibri"/>
                <w:b/>
                <w:color w:val="000000"/>
              </w:rPr>
            </w:pPr>
            <w:r w:rsidRPr="0007557B">
              <w:rPr>
                <w:rFonts w:cs="Calibri"/>
                <w:b/>
                <w:color w:val="000000"/>
              </w:rPr>
              <w:t>Panellists:</w:t>
            </w:r>
          </w:p>
        </w:tc>
        <w:tc>
          <w:tcPr>
            <w:tcW w:w="9180" w:type="dxa"/>
            <w:gridSpan w:val="2"/>
          </w:tcPr>
          <w:p w14:paraId="60796742" w14:textId="18D464C7" w:rsidR="00285F7D" w:rsidRPr="0007557B" w:rsidRDefault="00285F7D" w:rsidP="00122628">
            <w:pPr>
              <w:spacing w:after="120" w:line="240" w:lineRule="auto"/>
              <w:rPr>
                <w:rFonts w:asciiTheme="minorHAnsi" w:eastAsia="MS Mincho" w:hAnsiTheme="minorHAnsi" w:cstheme="minorHAnsi"/>
                <w:lang w:eastAsia="ja-JP"/>
              </w:rPr>
            </w:pPr>
            <w:r w:rsidRPr="0007557B">
              <w:rPr>
                <w:rFonts w:asciiTheme="minorHAnsi" w:eastAsia="MS Mincho" w:hAnsiTheme="minorHAnsi" w:cstheme="minorHAnsi"/>
                <w:b/>
                <w:bCs/>
                <w:lang w:eastAsia="ja-JP"/>
              </w:rPr>
              <w:t>Mr. Martin Chungong</w:t>
            </w:r>
            <w:r w:rsidRPr="0007557B">
              <w:rPr>
                <w:rFonts w:asciiTheme="minorHAnsi" w:eastAsia="MS Mincho" w:hAnsiTheme="minorHAnsi" w:cstheme="minorHAnsi"/>
                <w:lang w:eastAsia="ja-JP"/>
              </w:rPr>
              <w:t xml:space="preserve">, </w:t>
            </w:r>
            <w:r w:rsidR="00AD10A7" w:rsidRPr="0007557B">
              <w:rPr>
                <w:rFonts w:asciiTheme="minorHAnsi" w:eastAsia="MS Mincho" w:hAnsiTheme="minorHAnsi" w:cstheme="minorHAnsi"/>
                <w:lang w:eastAsia="ja-JP"/>
              </w:rPr>
              <w:t xml:space="preserve">Secretary-General of </w:t>
            </w:r>
            <w:r w:rsidRPr="0007557B">
              <w:rPr>
                <w:rFonts w:asciiTheme="minorHAnsi" w:eastAsia="MS Mincho" w:hAnsiTheme="minorHAnsi" w:cstheme="minorHAnsi"/>
                <w:lang w:eastAsia="ja-JP"/>
              </w:rPr>
              <w:t xml:space="preserve">the Inter-Parliamentary Union </w:t>
            </w:r>
          </w:p>
          <w:p w14:paraId="564EA638" w14:textId="1206E6DC" w:rsidR="00785E0F" w:rsidRPr="0007557B" w:rsidRDefault="00785E0F" w:rsidP="00122628">
            <w:pPr>
              <w:spacing w:after="120" w:line="240" w:lineRule="auto"/>
              <w:rPr>
                <w:rFonts w:asciiTheme="minorHAnsi" w:eastAsia="MS Mincho" w:hAnsiTheme="minorHAnsi" w:cstheme="minorHAnsi"/>
                <w:lang w:val="en-US" w:eastAsia="ja-JP"/>
              </w:rPr>
            </w:pPr>
            <w:r w:rsidRPr="0007557B">
              <w:rPr>
                <w:rFonts w:asciiTheme="minorHAnsi" w:eastAsia="MS Mincho" w:hAnsiTheme="minorHAnsi" w:cstheme="minorHAnsi"/>
                <w:b/>
                <w:bCs/>
                <w:lang w:val="en-CH" w:eastAsia="ja-JP"/>
              </w:rPr>
              <w:t xml:space="preserve">Ms. Beatriz Carrillo de </w:t>
            </w:r>
            <w:proofErr w:type="spellStart"/>
            <w:r w:rsidRPr="0007557B">
              <w:rPr>
                <w:rFonts w:asciiTheme="minorHAnsi" w:eastAsia="MS Mincho" w:hAnsiTheme="minorHAnsi" w:cstheme="minorHAnsi"/>
                <w:b/>
                <w:bCs/>
                <w:lang w:val="en-CH" w:eastAsia="ja-JP"/>
              </w:rPr>
              <w:t>los</w:t>
            </w:r>
            <w:proofErr w:type="spellEnd"/>
            <w:r w:rsidRPr="0007557B">
              <w:rPr>
                <w:rFonts w:asciiTheme="minorHAnsi" w:eastAsia="MS Mincho" w:hAnsiTheme="minorHAnsi" w:cstheme="minorHAnsi"/>
                <w:b/>
                <w:bCs/>
                <w:lang w:val="en-CH" w:eastAsia="ja-JP"/>
              </w:rPr>
              <w:t xml:space="preserve"> Reyes</w:t>
            </w:r>
            <w:r w:rsidRPr="0007557B">
              <w:rPr>
                <w:rFonts w:asciiTheme="minorHAnsi" w:eastAsia="MS Mincho" w:hAnsiTheme="minorHAnsi" w:cstheme="minorHAnsi"/>
                <w:lang w:val="en-CH" w:eastAsia="ja-JP"/>
              </w:rPr>
              <w:t xml:space="preserve">, </w:t>
            </w:r>
            <w:r w:rsidR="00546012" w:rsidRPr="0007557B">
              <w:rPr>
                <w:rFonts w:asciiTheme="minorHAnsi" w:eastAsia="MS Mincho" w:hAnsiTheme="minorHAnsi" w:cstheme="minorHAnsi"/>
                <w:lang w:eastAsia="ja-JP"/>
              </w:rPr>
              <w:t xml:space="preserve">Director General for </w:t>
            </w:r>
            <w:r w:rsidR="00EF01F9" w:rsidRPr="0007557B">
              <w:rPr>
                <w:rFonts w:asciiTheme="minorHAnsi" w:eastAsia="MS Mincho" w:hAnsiTheme="minorHAnsi" w:cstheme="minorHAnsi"/>
                <w:lang w:eastAsia="ja-JP"/>
              </w:rPr>
              <w:t>Equal Treatment and Non-Discrimination and against Racism</w:t>
            </w:r>
            <w:r w:rsidR="00546012" w:rsidRPr="0007557B">
              <w:rPr>
                <w:rFonts w:asciiTheme="minorHAnsi" w:eastAsia="MS Mincho" w:hAnsiTheme="minorHAnsi" w:cstheme="minorHAnsi"/>
                <w:lang w:eastAsia="ja-JP"/>
              </w:rPr>
              <w:t xml:space="preserve"> at the Ministry </w:t>
            </w:r>
            <w:r w:rsidR="007263B3" w:rsidRPr="0007557B">
              <w:rPr>
                <w:rFonts w:asciiTheme="minorHAnsi" w:eastAsia="MS Mincho" w:hAnsiTheme="minorHAnsi" w:cstheme="minorHAnsi"/>
                <w:lang w:eastAsia="ja-JP"/>
              </w:rPr>
              <w:t xml:space="preserve">of </w:t>
            </w:r>
            <w:r w:rsidR="00546012" w:rsidRPr="0007557B">
              <w:rPr>
                <w:rFonts w:asciiTheme="minorHAnsi" w:eastAsia="MS Mincho" w:hAnsiTheme="minorHAnsi" w:cstheme="minorHAnsi"/>
                <w:lang w:eastAsia="ja-JP"/>
              </w:rPr>
              <w:t>Equality</w:t>
            </w:r>
            <w:r w:rsidR="00343003" w:rsidRPr="0007557B">
              <w:rPr>
                <w:rFonts w:asciiTheme="minorHAnsi" w:eastAsia="MS Mincho" w:hAnsiTheme="minorHAnsi" w:cstheme="minorHAnsi"/>
                <w:lang w:eastAsia="ja-JP"/>
              </w:rPr>
              <w:t xml:space="preserve"> of Spain</w:t>
            </w:r>
          </w:p>
          <w:p w14:paraId="3D5F0CE3" w14:textId="0C7B45B4" w:rsidR="00546012" w:rsidRPr="0007557B" w:rsidRDefault="005D6C8B" w:rsidP="00122628">
            <w:pPr>
              <w:spacing w:after="120" w:line="240" w:lineRule="auto"/>
              <w:rPr>
                <w:rFonts w:asciiTheme="minorHAnsi" w:eastAsia="MS Mincho" w:hAnsiTheme="minorHAnsi" w:cstheme="minorHAnsi"/>
                <w:lang w:eastAsia="ja-JP"/>
              </w:rPr>
            </w:pPr>
            <w:r w:rsidRPr="0007557B">
              <w:rPr>
                <w:rFonts w:asciiTheme="minorHAnsi" w:eastAsia="MS Mincho" w:hAnsiTheme="minorHAnsi" w:cstheme="minorHAnsi"/>
                <w:b/>
                <w:bCs/>
                <w:lang w:val="en-CH" w:eastAsia="ja-JP"/>
              </w:rPr>
              <w:t>H.E. Mr. James Ndirangu Waweru</w:t>
            </w:r>
            <w:r w:rsidRPr="0007557B">
              <w:rPr>
                <w:rFonts w:asciiTheme="minorHAnsi" w:eastAsia="MS Mincho" w:hAnsiTheme="minorHAnsi" w:cstheme="minorHAnsi"/>
                <w:lang w:val="en-CH" w:eastAsia="ja-JP"/>
              </w:rPr>
              <w:t xml:space="preserve">, </w:t>
            </w:r>
            <w:r w:rsidR="00DC750D">
              <w:rPr>
                <w:rFonts w:asciiTheme="minorHAnsi" w:eastAsia="MS Mincho" w:hAnsiTheme="minorHAnsi" w:cstheme="minorHAnsi"/>
                <w:lang w:val="en-CH" w:eastAsia="ja-JP"/>
              </w:rPr>
              <w:t>Chair-Rapporteur</w:t>
            </w:r>
            <w:r w:rsidRPr="0007557B">
              <w:rPr>
                <w:rFonts w:asciiTheme="minorHAnsi" w:eastAsia="MS Mincho" w:hAnsiTheme="minorHAnsi" w:cstheme="minorHAnsi"/>
                <w:lang w:val="en-CH" w:eastAsia="ja-JP"/>
              </w:rPr>
              <w:t xml:space="preserve"> of the Intergovernmental Working Group on the Effective Implementation of the Durban Declaration and Programme of Action</w:t>
            </w:r>
          </w:p>
          <w:p w14:paraId="5CA9296C" w14:textId="662ED0F3" w:rsidR="00841525" w:rsidRPr="0007557B" w:rsidRDefault="003415EE" w:rsidP="000D20A7">
            <w:pPr>
              <w:spacing w:after="240" w:line="240" w:lineRule="auto"/>
              <w:rPr>
                <w:rFonts w:asciiTheme="minorHAnsi" w:eastAsia="MS Mincho" w:hAnsiTheme="minorHAnsi" w:cstheme="minorHAnsi"/>
                <w:lang w:val="en-CH" w:eastAsia="ja-JP"/>
              </w:rPr>
            </w:pPr>
            <w:r w:rsidRPr="00091947">
              <w:rPr>
                <w:rFonts w:asciiTheme="minorHAnsi" w:eastAsia="MS Mincho" w:hAnsiTheme="minorHAnsi" w:cstheme="minorHAnsi"/>
                <w:b/>
                <w:bCs/>
                <w:lang w:val="en-CH" w:eastAsia="ja-JP"/>
              </w:rPr>
              <w:t>Ms</w:t>
            </w:r>
            <w:r w:rsidR="00253AE7" w:rsidRPr="00091947">
              <w:rPr>
                <w:rFonts w:asciiTheme="minorHAnsi" w:eastAsia="MS Mincho" w:hAnsiTheme="minorHAnsi" w:cstheme="minorHAnsi"/>
                <w:b/>
                <w:bCs/>
                <w:lang w:val="en-CH" w:eastAsia="ja-JP"/>
              </w:rPr>
              <w:t>.</w:t>
            </w:r>
            <w:r w:rsidRPr="00091947">
              <w:rPr>
                <w:rFonts w:asciiTheme="minorHAnsi" w:eastAsia="MS Mincho" w:hAnsiTheme="minorHAnsi" w:cstheme="minorHAnsi"/>
                <w:b/>
                <w:bCs/>
                <w:lang w:val="en-CH" w:eastAsia="ja-JP"/>
              </w:rPr>
              <w:t xml:space="preserve"> Ketty Marcelo López</w:t>
            </w:r>
            <w:r w:rsidRPr="00091947">
              <w:rPr>
                <w:rFonts w:asciiTheme="minorHAnsi" w:eastAsia="MS Mincho" w:hAnsiTheme="minorHAnsi" w:cstheme="minorHAnsi"/>
                <w:lang w:val="en-CH" w:eastAsia="ja-JP"/>
              </w:rPr>
              <w:t>,</w:t>
            </w:r>
            <w:r w:rsidRPr="00091947">
              <w:rPr>
                <w:rFonts w:asciiTheme="minorHAnsi" w:eastAsia="MS Mincho" w:hAnsiTheme="minorHAnsi" w:cstheme="minorHAnsi"/>
                <w:b/>
                <w:bCs/>
                <w:lang w:val="en-CH" w:eastAsia="ja-JP"/>
              </w:rPr>
              <w:t xml:space="preserve"> </w:t>
            </w:r>
            <w:r w:rsidR="00670B31" w:rsidRPr="00670B31">
              <w:rPr>
                <w:rFonts w:asciiTheme="minorHAnsi" w:eastAsia="MS Mincho" w:hAnsiTheme="minorHAnsi" w:cstheme="minorHAnsi"/>
                <w:lang w:val="en-CH" w:eastAsia="ja-JP"/>
              </w:rPr>
              <w:t xml:space="preserve">President of the Organization of </w:t>
            </w:r>
            <w:proofErr w:type="spellStart"/>
            <w:r w:rsidR="00670B31" w:rsidRPr="00670B31">
              <w:rPr>
                <w:rFonts w:asciiTheme="minorHAnsi" w:eastAsia="MS Mincho" w:hAnsiTheme="minorHAnsi" w:cstheme="minorHAnsi"/>
                <w:lang w:val="en-CH" w:eastAsia="ja-JP"/>
              </w:rPr>
              <w:t>Ashaninka</w:t>
            </w:r>
            <w:proofErr w:type="spellEnd"/>
            <w:r w:rsidR="00670B31" w:rsidRPr="00670B31">
              <w:rPr>
                <w:rFonts w:asciiTheme="minorHAnsi" w:eastAsia="MS Mincho" w:hAnsiTheme="minorHAnsi" w:cstheme="minorHAnsi"/>
                <w:lang w:val="en-CH" w:eastAsia="ja-JP"/>
              </w:rPr>
              <w:t xml:space="preserve"> Indigenous Women of the central Amazon region of Peru</w:t>
            </w:r>
          </w:p>
        </w:tc>
      </w:tr>
      <w:tr w:rsidR="00D57F42" w:rsidRPr="001511B7" w14:paraId="7CE3757C" w14:textId="77777777" w:rsidTr="00B05DE1">
        <w:trPr>
          <w:trHeight w:val="387"/>
        </w:trPr>
        <w:tc>
          <w:tcPr>
            <w:tcW w:w="1452" w:type="dxa"/>
          </w:tcPr>
          <w:p w14:paraId="005E3130" w14:textId="77777777" w:rsidR="00D57F42" w:rsidRPr="001511B7" w:rsidRDefault="00D57F42" w:rsidP="00122628">
            <w:pPr>
              <w:spacing w:after="240" w:line="240" w:lineRule="auto"/>
              <w:rPr>
                <w:rFonts w:cs="Calibri"/>
                <w:b/>
                <w:color w:val="000000"/>
              </w:rPr>
            </w:pPr>
            <w:r w:rsidRPr="001511B7">
              <w:rPr>
                <w:rFonts w:cs="Calibri"/>
                <w:b/>
                <w:color w:val="000000"/>
              </w:rPr>
              <w:t>Outcome:</w:t>
            </w:r>
          </w:p>
        </w:tc>
        <w:tc>
          <w:tcPr>
            <w:tcW w:w="9180" w:type="dxa"/>
            <w:gridSpan w:val="2"/>
          </w:tcPr>
          <w:p w14:paraId="3891B9C8" w14:textId="77777777" w:rsidR="00D57F42" w:rsidRDefault="00D57F42" w:rsidP="00122628">
            <w:pPr>
              <w:spacing w:after="120" w:line="240" w:lineRule="auto"/>
              <w:jc w:val="both"/>
              <w:rPr>
                <w:rFonts w:cs="Calibri"/>
                <w:bCs/>
                <w:lang w:val="en-US"/>
              </w:rPr>
            </w:pPr>
            <w:r>
              <w:rPr>
                <w:rFonts w:cs="Calibri"/>
                <w:bCs/>
                <w:lang w:val="en-US"/>
              </w:rPr>
              <w:t xml:space="preserve">The panel discussion is expected to contribute to: </w:t>
            </w:r>
          </w:p>
          <w:p w14:paraId="6A387615" w14:textId="4A7F010B" w:rsidR="006E0724" w:rsidRDefault="004E7FB6" w:rsidP="00122628">
            <w:pPr>
              <w:pStyle w:val="ListParagraph"/>
              <w:numPr>
                <w:ilvl w:val="0"/>
                <w:numId w:val="2"/>
              </w:numPr>
              <w:spacing w:after="240" w:line="240" w:lineRule="auto"/>
              <w:jc w:val="both"/>
              <w:rPr>
                <w:rFonts w:asciiTheme="minorHAnsi" w:eastAsia="Times New Roman" w:hAnsiTheme="minorHAnsi" w:cstheme="minorHAnsi"/>
                <w:lang w:eastAsia="en-GB"/>
                <w14:ligatures w14:val="none"/>
              </w:rPr>
            </w:pPr>
            <w:r>
              <w:rPr>
                <w:rFonts w:asciiTheme="minorHAnsi" w:eastAsia="Times New Roman" w:hAnsiTheme="minorHAnsi" w:cstheme="minorHAnsi"/>
                <w:lang w:eastAsia="en-GB"/>
                <w14:ligatures w14:val="none"/>
              </w:rPr>
              <w:t>Enhancing awareness of the breadth and scope of the DDPA</w:t>
            </w:r>
            <w:r w:rsidR="00927FFE">
              <w:rPr>
                <w:rFonts w:asciiTheme="minorHAnsi" w:eastAsia="Times New Roman" w:hAnsiTheme="minorHAnsi" w:cstheme="minorHAnsi"/>
                <w:lang w:eastAsia="en-GB"/>
                <w14:ligatures w14:val="none"/>
              </w:rPr>
              <w:t xml:space="preserve">, its </w:t>
            </w:r>
            <w:r w:rsidR="00282841">
              <w:rPr>
                <w:rFonts w:asciiTheme="minorHAnsi" w:eastAsia="Times New Roman" w:hAnsiTheme="minorHAnsi" w:cstheme="minorHAnsi"/>
                <w:lang w:eastAsia="en-GB"/>
                <w14:ligatures w14:val="none"/>
              </w:rPr>
              <w:t xml:space="preserve">significance and ongoing </w:t>
            </w:r>
            <w:proofErr w:type="gramStart"/>
            <w:r w:rsidR="00282841">
              <w:rPr>
                <w:rFonts w:asciiTheme="minorHAnsi" w:eastAsia="Times New Roman" w:hAnsiTheme="minorHAnsi" w:cstheme="minorHAnsi"/>
                <w:lang w:eastAsia="en-GB"/>
                <w14:ligatures w14:val="none"/>
              </w:rPr>
              <w:t>relevance</w:t>
            </w:r>
            <w:r w:rsidR="00350012">
              <w:rPr>
                <w:rFonts w:asciiTheme="minorHAnsi" w:eastAsia="Times New Roman" w:hAnsiTheme="minorHAnsi" w:cstheme="minorHAnsi"/>
                <w:lang w:eastAsia="en-GB"/>
                <w14:ligatures w14:val="none"/>
              </w:rPr>
              <w:t>;</w:t>
            </w:r>
            <w:proofErr w:type="gramEnd"/>
          </w:p>
          <w:p w14:paraId="797DCE9B" w14:textId="25ADB4A0" w:rsidR="00E4063E" w:rsidRDefault="00751AC4" w:rsidP="00122628">
            <w:pPr>
              <w:pStyle w:val="ListParagraph"/>
              <w:numPr>
                <w:ilvl w:val="0"/>
                <w:numId w:val="2"/>
              </w:numPr>
              <w:spacing w:after="240" w:line="240" w:lineRule="auto"/>
              <w:jc w:val="both"/>
              <w:rPr>
                <w:rFonts w:asciiTheme="minorHAnsi" w:eastAsia="Times New Roman" w:hAnsiTheme="minorHAnsi" w:cstheme="minorHAnsi"/>
                <w:lang w:eastAsia="en-GB"/>
                <w14:ligatures w14:val="none"/>
              </w:rPr>
            </w:pPr>
            <w:r>
              <w:rPr>
                <w:rFonts w:asciiTheme="minorHAnsi" w:eastAsia="Times New Roman" w:hAnsiTheme="minorHAnsi" w:cstheme="minorHAnsi"/>
                <w:lang w:eastAsia="en-GB"/>
                <w14:ligatures w14:val="none"/>
              </w:rPr>
              <w:t>Reviewing</w:t>
            </w:r>
            <w:r w:rsidR="00E4063E">
              <w:rPr>
                <w:rFonts w:asciiTheme="minorHAnsi" w:eastAsia="Times New Roman" w:hAnsiTheme="minorHAnsi" w:cstheme="minorHAnsi"/>
                <w:lang w:eastAsia="en-GB"/>
                <w14:ligatures w14:val="none"/>
              </w:rPr>
              <w:t xml:space="preserve"> lessons learnt since </w:t>
            </w:r>
            <w:r w:rsidR="0037041D">
              <w:rPr>
                <w:rFonts w:asciiTheme="minorHAnsi" w:eastAsia="Times New Roman" w:hAnsiTheme="minorHAnsi" w:cstheme="minorHAnsi"/>
                <w:lang w:eastAsia="en-GB"/>
                <w14:ligatures w14:val="none"/>
              </w:rPr>
              <w:t>the 2001 World Conference against Racism</w:t>
            </w:r>
            <w:r w:rsidR="000F7DAD" w:rsidRPr="000F7DAD">
              <w:rPr>
                <w:rFonts w:asciiTheme="minorHAnsi" w:eastAsia="Times New Roman" w:hAnsiTheme="minorHAnsi" w:cstheme="minorHAnsi"/>
                <w:lang w:eastAsia="en-GB"/>
                <w14:ligatures w14:val="none"/>
              </w:rPr>
              <w:t xml:space="preserve">, Racial Discrimination, Xenophobia and Related Intolerance </w:t>
            </w:r>
            <w:r w:rsidR="00E4063E">
              <w:rPr>
                <w:rFonts w:asciiTheme="minorHAnsi" w:eastAsia="Times New Roman" w:hAnsiTheme="minorHAnsi" w:cstheme="minorHAnsi"/>
                <w:lang w:eastAsia="en-GB"/>
                <w14:ligatures w14:val="none"/>
              </w:rPr>
              <w:t xml:space="preserve">to inform future strategies, including new challenges that </w:t>
            </w:r>
            <w:r w:rsidR="009F48E1">
              <w:rPr>
                <w:rFonts w:asciiTheme="minorHAnsi" w:eastAsia="Times New Roman" w:hAnsiTheme="minorHAnsi" w:cstheme="minorHAnsi"/>
                <w:lang w:eastAsia="en-GB"/>
                <w14:ligatures w14:val="none"/>
              </w:rPr>
              <w:t>m</w:t>
            </w:r>
            <w:r w:rsidR="00E4063E">
              <w:rPr>
                <w:rFonts w:asciiTheme="minorHAnsi" w:eastAsia="Times New Roman" w:hAnsiTheme="minorHAnsi" w:cstheme="minorHAnsi"/>
                <w:lang w:eastAsia="en-GB"/>
                <w14:ligatures w14:val="none"/>
              </w:rPr>
              <w:t xml:space="preserve">ay </w:t>
            </w:r>
            <w:r w:rsidR="006500A7">
              <w:rPr>
                <w:rFonts w:asciiTheme="minorHAnsi" w:eastAsia="Times New Roman" w:hAnsiTheme="minorHAnsi" w:cstheme="minorHAnsi"/>
                <w:lang w:eastAsia="en-GB"/>
                <w14:ligatures w14:val="none"/>
              </w:rPr>
              <w:t xml:space="preserve">have </w:t>
            </w:r>
            <w:proofErr w:type="gramStart"/>
            <w:r w:rsidR="00E4063E">
              <w:rPr>
                <w:rFonts w:asciiTheme="minorHAnsi" w:eastAsia="Times New Roman" w:hAnsiTheme="minorHAnsi" w:cstheme="minorHAnsi"/>
                <w:lang w:eastAsia="en-GB"/>
                <w14:ligatures w14:val="none"/>
              </w:rPr>
              <w:t>emerge</w:t>
            </w:r>
            <w:r w:rsidR="006500A7">
              <w:rPr>
                <w:rFonts w:asciiTheme="minorHAnsi" w:eastAsia="Times New Roman" w:hAnsiTheme="minorHAnsi" w:cstheme="minorHAnsi"/>
                <w:lang w:eastAsia="en-GB"/>
                <w14:ligatures w14:val="none"/>
              </w:rPr>
              <w:t>d</w:t>
            </w:r>
            <w:r w:rsidR="00350012">
              <w:rPr>
                <w:rFonts w:asciiTheme="minorHAnsi" w:eastAsia="Times New Roman" w:hAnsiTheme="minorHAnsi" w:cstheme="minorHAnsi"/>
                <w:lang w:eastAsia="en-GB"/>
                <w14:ligatures w14:val="none"/>
              </w:rPr>
              <w:t>;</w:t>
            </w:r>
            <w:proofErr w:type="gramEnd"/>
          </w:p>
          <w:p w14:paraId="746C4D52" w14:textId="083CC79B" w:rsidR="00EB6A00" w:rsidRDefault="004B5D6D" w:rsidP="00122628">
            <w:pPr>
              <w:pStyle w:val="ListParagraph"/>
              <w:numPr>
                <w:ilvl w:val="0"/>
                <w:numId w:val="2"/>
              </w:numPr>
              <w:spacing w:after="240" w:line="240" w:lineRule="auto"/>
              <w:jc w:val="both"/>
              <w:rPr>
                <w:rFonts w:asciiTheme="minorHAnsi" w:eastAsia="Times New Roman" w:hAnsiTheme="minorHAnsi" w:cstheme="minorHAnsi"/>
                <w:lang w:eastAsia="en-GB"/>
                <w14:ligatures w14:val="none"/>
              </w:rPr>
            </w:pPr>
            <w:r>
              <w:rPr>
                <w:rFonts w:asciiTheme="minorHAnsi" w:eastAsia="Times New Roman" w:hAnsiTheme="minorHAnsi" w:cstheme="minorHAnsi"/>
                <w:lang w:eastAsia="en-GB"/>
                <w14:ligatures w14:val="none"/>
              </w:rPr>
              <w:t>Examining</w:t>
            </w:r>
            <w:r w:rsidR="006E0724">
              <w:rPr>
                <w:rFonts w:asciiTheme="minorHAnsi" w:eastAsia="Times New Roman" w:hAnsiTheme="minorHAnsi" w:cstheme="minorHAnsi"/>
                <w:lang w:eastAsia="en-GB"/>
                <w14:ligatures w14:val="none"/>
              </w:rPr>
              <w:t xml:space="preserve"> </w:t>
            </w:r>
            <w:r>
              <w:rPr>
                <w:rFonts w:asciiTheme="minorHAnsi" w:eastAsia="Times New Roman" w:hAnsiTheme="minorHAnsi" w:cstheme="minorHAnsi"/>
                <w:lang w:eastAsia="en-GB"/>
                <w14:ligatures w14:val="none"/>
              </w:rPr>
              <w:t xml:space="preserve">how different actors can collaborate effectively to accelerate progress and build momentum </w:t>
            </w:r>
            <w:r w:rsidR="00751AC4">
              <w:rPr>
                <w:rFonts w:asciiTheme="minorHAnsi" w:eastAsia="Times New Roman" w:hAnsiTheme="minorHAnsi" w:cstheme="minorHAnsi"/>
                <w:lang w:eastAsia="en-GB"/>
                <w14:ligatures w14:val="none"/>
              </w:rPr>
              <w:t xml:space="preserve">for the full and effective implementation of the </w:t>
            </w:r>
            <w:r w:rsidR="006E0724">
              <w:rPr>
                <w:rFonts w:asciiTheme="minorHAnsi" w:eastAsia="Times New Roman" w:hAnsiTheme="minorHAnsi" w:cstheme="minorHAnsi"/>
                <w:lang w:eastAsia="en-GB"/>
                <w14:ligatures w14:val="none"/>
              </w:rPr>
              <w:t xml:space="preserve">DDPA and </w:t>
            </w:r>
            <w:r w:rsidR="0037041D">
              <w:rPr>
                <w:rFonts w:asciiTheme="minorHAnsi" w:eastAsia="Times New Roman" w:hAnsiTheme="minorHAnsi" w:cstheme="minorHAnsi"/>
                <w:lang w:eastAsia="en-GB"/>
                <w14:ligatures w14:val="none"/>
              </w:rPr>
              <w:t xml:space="preserve">broader </w:t>
            </w:r>
            <w:r w:rsidR="006E0724">
              <w:rPr>
                <w:rFonts w:asciiTheme="minorHAnsi" w:eastAsia="Times New Roman" w:hAnsiTheme="minorHAnsi" w:cstheme="minorHAnsi"/>
                <w:lang w:eastAsia="en-GB"/>
                <w14:ligatures w14:val="none"/>
              </w:rPr>
              <w:t xml:space="preserve">anti-racism </w:t>
            </w:r>
            <w:proofErr w:type="gramStart"/>
            <w:r w:rsidR="006E0724">
              <w:rPr>
                <w:rFonts w:asciiTheme="minorHAnsi" w:eastAsia="Times New Roman" w:hAnsiTheme="minorHAnsi" w:cstheme="minorHAnsi"/>
                <w:lang w:eastAsia="en-GB"/>
                <w14:ligatures w14:val="none"/>
              </w:rPr>
              <w:t>efforts</w:t>
            </w:r>
            <w:r w:rsidR="009F7DE2">
              <w:rPr>
                <w:rFonts w:asciiTheme="minorHAnsi" w:eastAsia="Times New Roman" w:hAnsiTheme="minorHAnsi" w:cstheme="minorHAnsi"/>
                <w:lang w:eastAsia="en-GB"/>
                <w14:ligatures w14:val="none"/>
              </w:rPr>
              <w:t>;</w:t>
            </w:r>
            <w:proofErr w:type="gramEnd"/>
          </w:p>
          <w:p w14:paraId="5F75BA4D" w14:textId="3BFF8766" w:rsidR="00751AC4" w:rsidRDefault="00751AC4" w:rsidP="00122628">
            <w:pPr>
              <w:pStyle w:val="ListParagraph"/>
              <w:numPr>
                <w:ilvl w:val="0"/>
                <w:numId w:val="2"/>
              </w:numPr>
              <w:spacing w:after="240" w:line="240" w:lineRule="auto"/>
              <w:jc w:val="both"/>
              <w:rPr>
                <w:rFonts w:asciiTheme="minorHAnsi" w:eastAsia="Times New Roman" w:hAnsiTheme="minorHAnsi" w:cstheme="minorHAnsi"/>
                <w:lang w:eastAsia="en-GB"/>
                <w14:ligatures w14:val="none"/>
              </w:rPr>
            </w:pPr>
            <w:r>
              <w:rPr>
                <w:rFonts w:asciiTheme="minorHAnsi" w:eastAsia="Times New Roman" w:hAnsiTheme="minorHAnsi" w:cstheme="minorHAnsi"/>
                <w:lang w:eastAsia="en-GB"/>
                <w14:ligatures w14:val="none"/>
              </w:rPr>
              <w:t xml:space="preserve">Identifying practical measures and resources needed across key sectors to turn commitments into tangible </w:t>
            </w:r>
            <w:proofErr w:type="gramStart"/>
            <w:r>
              <w:rPr>
                <w:rFonts w:asciiTheme="minorHAnsi" w:eastAsia="Times New Roman" w:hAnsiTheme="minorHAnsi" w:cstheme="minorHAnsi"/>
                <w:lang w:eastAsia="en-GB"/>
                <w14:ligatures w14:val="none"/>
              </w:rPr>
              <w:t>results</w:t>
            </w:r>
            <w:r w:rsidR="009F7DE2">
              <w:rPr>
                <w:rFonts w:asciiTheme="minorHAnsi" w:eastAsia="Times New Roman" w:hAnsiTheme="minorHAnsi" w:cstheme="minorHAnsi"/>
                <w:lang w:eastAsia="en-GB"/>
                <w14:ligatures w14:val="none"/>
              </w:rPr>
              <w:t>;</w:t>
            </w:r>
            <w:proofErr w:type="gramEnd"/>
          </w:p>
          <w:p w14:paraId="3C5751A2" w14:textId="4F67476D" w:rsidR="00D57F42" w:rsidRPr="00AF7339" w:rsidRDefault="000E686E" w:rsidP="00122628">
            <w:pPr>
              <w:pStyle w:val="ListParagraph"/>
              <w:numPr>
                <w:ilvl w:val="0"/>
                <w:numId w:val="2"/>
              </w:numPr>
              <w:spacing w:after="240" w:line="240" w:lineRule="auto"/>
              <w:rPr>
                <w:rFonts w:asciiTheme="minorHAnsi" w:eastAsia="Times New Roman" w:hAnsiTheme="minorHAnsi" w:cstheme="minorHAnsi"/>
                <w:lang w:eastAsia="en-GB"/>
                <w14:ligatures w14:val="none"/>
              </w:rPr>
            </w:pPr>
            <w:r>
              <w:rPr>
                <w:rFonts w:asciiTheme="minorHAnsi" w:eastAsia="Times New Roman" w:hAnsiTheme="minorHAnsi" w:cstheme="minorHAnsi"/>
                <w:lang w:eastAsia="en-GB"/>
                <w14:ligatures w14:val="none"/>
              </w:rPr>
              <w:t>Generating ideas on mobili</w:t>
            </w:r>
            <w:r w:rsidR="00A45F0B">
              <w:rPr>
                <w:rFonts w:asciiTheme="minorHAnsi" w:eastAsia="Times New Roman" w:hAnsiTheme="minorHAnsi" w:cstheme="minorHAnsi"/>
                <w:lang w:eastAsia="en-GB"/>
                <w14:ligatures w14:val="none"/>
              </w:rPr>
              <w:t>z</w:t>
            </w:r>
            <w:r>
              <w:rPr>
                <w:rFonts w:asciiTheme="minorHAnsi" w:eastAsia="Times New Roman" w:hAnsiTheme="minorHAnsi" w:cstheme="minorHAnsi"/>
                <w:lang w:eastAsia="en-GB"/>
                <w14:ligatures w14:val="none"/>
              </w:rPr>
              <w:t xml:space="preserve">ing global solidarity </w:t>
            </w:r>
            <w:r w:rsidR="00CE2E5C">
              <w:rPr>
                <w:rFonts w:asciiTheme="minorHAnsi" w:eastAsia="Times New Roman" w:hAnsiTheme="minorHAnsi" w:cstheme="minorHAnsi"/>
                <w:lang w:eastAsia="en-GB"/>
                <w14:ligatures w14:val="none"/>
              </w:rPr>
              <w:t>against racism and inequality</w:t>
            </w:r>
            <w:r w:rsidR="00AF7339">
              <w:rPr>
                <w:rFonts w:asciiTheme="minorHAnsi" w:eastAsia="Times New Roman" w:hAnsiTheme="minorHAnsi" w:cstheme="minorHAnsi"/>
                <w:lang w:eastAsia="en-GB"/>
                <w14:ligatures w14:val="none"/>
              </w:rPr>
              <w:t>.</w:t>
            </w:r>
          </w:p>
        </w:tc>
      </w:tr>
      <w:tr w:rsidR="00D57F42" w:rsidRPr="001511B7" w14:paraId="78EDF66E" w14:textId="77777777" w:rsidTr="00B05DE1">
        <w:trPr>
          <w:trHeight w:val="80"/>
        </w:trPr>
        <w:tc>
          <w:tcPr>
            <w:tcW w:w="1452" w:type="dxa"/>
          </w:tcPr>
          <w:p w14:paraId="3D1F1ABF" w14:textId="77777777" w:rsidR="00D57F42" w:rsidRPr="001511B7" w:rsidRDefault="00D57F42" w:rsidP="00122628">
            <w:pPr>
              <w:spacing w:after="240" w:line="240" w:lineRule="auto"/>
              <w:rPr>
                <w:rFonts w:cs="Calibri"/>
                <w:b/>
                <w:color w:val="000000"/>
              </w:rPr>
            </w:pPr>
            <w:r w:rsidRPr="001511B7">
              <w:rPr>
                <w:rFonts w:cs="Calibri"/>
                <w:b/>
                <w:color w:val="000000"/>
              </w:rPr>
              <w:t>Mandate:</w:t>
            </w:r>
          </w:p>
        </w:tc>
        <w:tc>
          <w:tcPr>
            <w:tcW w:w="9180" w:type="dxa"/>
            <w:gridSpan w:val="2"/>
          </w:tcPr>
          <w:p w14:paraId="6D51DF3C" w14:textId="2246C588" w:rsidR="00D57F42" w:rsidRPr="006C0BC8" w:rsidRDefault="00D57F42" w:rsidP="00122628">
            <w:pPr>
              <w:autoSpaceDE w:val="0"/>
              <w:autoSpaceDN w:val="0"/>
              <w:adjustRightInd w:val="0"/>
              <w:spacing w:after="240" w:line="240" w:lineRule="auto"/>
              <w:jc w:val="both"/>
            </w:pPr>
            <w:r w:rsidRPr="006C0BC8">
              <w:t xml:space="preserve">The </w:t>
            </w:r>
            <w:r w:rsidR="0007715D">
              <w:t>Human Rights Council</w:t>
            </w:r>
            <w:r w:rsidR="00834915">
              <w:t xml:space="preserve">, in </w:t>
            </w:r>
            <w:r w:rsidR="00434D58">
              <w:t xml:space="preserve">paragraph 27 of </w:t>
            </w:r>
            <w:r w:rsidR="00EB3278">
              <w:rPr>
                <w:lang w:val="en-US"/>
              </w:rPr>
              <w:t xml:space="preserve">its </w:t>
            </w:r>
            <w:hyperlink r:id="rId11" w:history="1">
              <w:r w:rsidR="00EB3278" w:rsidRPr="00AC7914">
                <w:rPr>
                  <w:rStyle w:val="Hyperlink"/>
                  <w:lang w:val="en-US"/>
                </w:rPr>
                <w:t>resolution 60/16</w:t>
              </w:r>
            </w:hyperlink>
            <w:r w:rsidR="00EB3278">
              <w:t xml:space="preserve"> </w:t>
            </w:r>
            <w:r w:rsidR="00434D58">
              <w:t>entitled</w:t>
            </w:r>
            <w:r w:rsidR="00A71016">
              <w:t xml:space="preserve"> “</w:t>
            </w:r>
            <w:r w:rsidR="00A71016" w:rsidRPr="00A71016">
              <w:t>From rhetoric to reality: a global call for concrete action against racism, racial discrimination, xenophobia and related intolerance</w:t>
            </w:r>
            <w:r w:rsidR="00A71016">
              <w:t xml:space="preserve">”, decided </w:t>
            </w:r>
            <w:r w:rsidR="00434D58" w:rsidRPr="00434D58">
              <w:t>to hold the annual panel discussion on the occasion of the International Day for the Elimination of Racial Discrimination as a high-level panel discussion during the high-level segment dedicated to the commemoration of the twenty-fifth anniversary of the adoption of the Durban Declaration and Programme of Action</w:t>
            </w:r>
            <w:r w:rsidR="00AE0BEC">
              <w:t>. The resolution</w:t>
            </w:r>
            <w:r w:rsidR="00434D58" w:rsidRPr="00434D58">
              <w:t xml:space="preserve"> encourage</w:t>
            </w:r>
            <w:r w:rsidR="00AE0BEC">
              <w:t>d</w:t>
            </w:r>
            <w:r w:rsidR="00434D58" w:rsidRPr="00434D58">
              <w:t xml:space="preserve"> the participation of States, eminent personalities active in the struggle against racial discrimination, and civil society organizations in accordance with the rules of procedure of the Council</w:t>
            </w:r>
            <w:r w:rsidR="002C38BF">
              <w:t>.</w:t>
            </w:r>
            <w:r w:rsidR="003F2025">
              <w:t xml:space="preserve"> The Council </w:t>
            </w:r>
            <w:r w:rsidR="003F2025" w:rsidRPr="003F2025">
              <w:t>also decide</w:t>
            </w:r>
            <w:r w:rsidR="003F2025">
              <w:t>d</w:t>
            </w:r>
            <w:r w:rsidR="003F2025" w:rsidRPr="003F2025">
              <w:t xml:space="preserve"> to make the panel discussion fully accessible for persons with disabilities</w:t>
            </w:r>
            <w:r w:rsidR="003F2025">
              <w:t>.</w:t>
            </w:r>
          </w:p>
        </w:tc>
      </w:tr>
      <w:tr w:rsidR="00A92BBB" w:rsidRPr="001511B7" w14:paraId="1C0DBD02" w14:textId="77777777" w:rsidTr="00B05DE1">
        <w:trPr>
          <w:trHeight w:val="80"/>
        </w:trPr>
        <w:tc>
          <w:tcPr>
            <w:tcW w:w="1452" w:type="dxa"/>
          </w:tcPr>
          <w:p w14:paraId="5DB113EC" w14:textId="2F86DABB" w:rsidR="00A92BBB" w:rsidRPr="001511B7" w:rsidRDefault="002D26A2" w:rsidP="00122628">
            <w:pPr>
              <w:spacing w:after="240" w:line="240" w:lineRule="auto"/>
              <w:rPr>
                <w:rFonts w:cs="Calibri"/>
                <w:b/>
                <w:color w:val="000000"/>
              </w:rPr>
            </w:pPr>
            <w:r>
              <w:rPr>
                <w:rFonts w:cs="Calibri"/>
                <w:b/>
                <w:color w:val="000000"/>
              </w:rPr>
              <w:lastRenderedPageBreak/>
              <w:t>Background:</w:t>
            </w:r>
          </w:p>
        </w:tc>
        <w:tc>
          <w:tcPr>
            <w:tcW w:w="9180" w:type="dxa"/>
            <w:gridSpan w:val="2"/>
          </w:tcPr>
          <w:p w14:paraId="27A37550" w14:textId="00747F02" w:rsidR="002D26A2" w:rsidRDefault="002D26A2" w:rsidP="00122628">
            <w:pPr>
              <w:autoSpaceDE w:val="0"/>
              <w:autoSpaceDN w:val="0"/>
              <w:adjustRightInd w:val="0"/>
              <w:spacing w:after="120" w:line="240" w:lineRule="auto"/>
              <w:jc w:val="both"/>
            </w:pPr>
            <w:r>
              <w:rPr>
                <w:lang w:val="en-US"/>
              </w:rPr>
              <w:t xml:space="preserve">The </w:t>
            </w:r>
            <w:r w:rsidR="00807601">
              <w:rPr>
                <w:lang w:val="en-US"/>
              </w:rPr>
              <w:t xml:space="preserve">twenty-fifth anniversary </w:t>
            </w:r>
            <w:r>
              <w:rPr>
                <w:lang w:val="en-US"/>
              </w:rPr>
              <w:t xml:space="preserve">of the Durban Declaration and </w:t>
            </w:r>
            <w:proofErr w:type="spellStart"/>
            <w:r>
              <w:rPr>
                <w:lang w:val="en-US"/>
              </w:rPr>
              <w:t>Programme</w:t>
            </w:r>
            <w:proofErr w:type="spellEnd"/>
            <w:r>
              <w:rPr>
                <w:lang w:val="en-US"/>
              </w:rPr>
              <w:t xml:space="preserve"> of Action (DDPA25) provides a valuable opportunity to highlight the document’s breadth of scope, its complementarity with the International Convention on the Elimination of Racial Discrimination (ICERD) and its contributions to combating racism, racial discrimination, xenophobia and related intolerance. It is also an opportunity to highlight the continuing relevance of the DDPA, both as regards steps to address legacies of racial discrimination and historical injustices as well as its current manifestations, and to bring attention to the scale and pervasiveness of racism, racial discrimination, xenophobia and related intolerance today. The anniversary of the DDPA, coming on the heels of the </w:t>
            </w:r>
            <w:r w:rsidR="00043F32">
              <w:rPr>
                <w:lang w:val="en-US"/>
              </w:rPr>
              <w:t>sixtieth</w:t>
            </w:r>
            <w:r>
              <w:rPr>
                <w:lang w:val="en-US"/>
              </w:rPr>
              <w:t xml:space="preserve"> anniversary of ICERD and launch of the Second International Decade for People of African Descent, provides a unique temporal window to advance awareness and understanding of the impacts of racism, racial discrimination, xenophobia and related intolerance on affected persons and communities and on social cohesion more broadly, and to renew individual and collective efforts to effectively combat, prevent and respond to these</w:t>
            </w:r>
            <w:r w:rsidRPr="00C53F2B">
              <w:t>.</w:t>
            </w:r>
          </w:p>
          <w:p w14:paraId="6D561FC5" w14:textId="1945FCBD" w:rsidR="00A92BBB" w:rsidRPr="006C0BC8" w:rsidRDefault="002D26A2" w:rsidP="00122628">
            <w:pPr>
              <w:autoSpaceDE w:val="0"/>
              <w:autoSpaceDN w:val="0"/>
              <w:adjustRightInd w:val="0"/>
              <w:spacing w:after="240" w:line="240" w:lineRule="auto"/>
              <w:jc w:val="both"/>
            </w:pPr>
            <w:r>
              <w:rPr>
                <w:lang w:val="en-US"/>
              </w:rPr>
              <w:t xml:space="preserve">The high-level panel discussion should be seen as one of a series of opportunities for States and other stakeholders to engage </w:t>
            </w:r>
            <w:proofErr w:type="gramStart"/>
            <w:r>
              <w:rPr>
                <w:lang w:val="en-US"/>
              </w:rPr>
              <w:t>on</w:t>
            </w:r>
            <w:proofErr w:type="gramEnd"/>
            <w:r>
              <w:rPr>
                <w:lang w:val="en-US"/>
              </w:rPr>
              <w:t xml:space="preserve"> these issues. Indeed, the </w:t>
            </w:r>
            <w:r w:rsidRPr="00472383">
              <w:rPr>
                <w:lang w:val="en-US"/>
              </w:rPr>
              <w:t>General Assembly decided</w:t>
            </w:r>
            <w:r w:rsidR="00483060">
              <w:t xml:space="preserve">, in its </w:t>
            </w:r>
            <w:hyperlink r:id="rId12" w:history="1">
              <w:r w:rsidR="00AB6EE2">
                <w:rPr>
                  <w:rStyle w:val="Hyperlink"/>
                </w:rPr>
                <w:t>resolution 80/193</w:t>
              </w:r>
            </w:hyperlink>
            <w:r w:rsidR="009E3C8A">
              <w:t>,</w:t>
            </w:r>
            <w:r>
              <w:rPr>
                <w:lang w:val="en-US"/>
              </w:rPr>
              <w:t xml:space="preserve"> to hold a one-day high-level meeting to mark </w:t>
            </w:r>
            <w:r w:rsidRPr="003A3BF3">
              <w:t>the twenty-fifth anniversary of the adoption of the Durban Declaration and Programme of Action, to be convened by the President of the General Assembly in collaboration with the Office of the United Nations High Commissioner for Human Rights and at the level of Heads of State and Government</w:t>
            </w:r>
            <w:r>
              <w:t xml:space="preserve">, on the theme </w:t>
            </w:r>
            <w:r w:rsidRPr="00CE0742">
              <w:t>“Mobilizing global public support for the full and effective implementation of the Durban Declaration and Programme of Action”, and to adopt a succinct political declaration aimed at mobilizing political will at the national, regional and international levels for the full and effective implementation of and follow-up to the Durban Declaration and Programme of Action</w:t>
            </w:r>
            <w:r w:rsidRPr="00C53F2B">
              <w:t>.</w:t>
            </w:r>
          </w:p>
        </w:tc>
      </w:tr>
      <w:tr w:rsidR="00D57F42" w:rsidRPr="001511B7" w14:paraId="0B528AF9" w14:textId="77777777" w:rsidTr="00B05DE1">
        <w:trPr>
          <w:trHeight w:val="428"/>
        </w:trPr>
        <w:tc>
          <w:tcPr>
            <w:tcW w:w="1452" w:type="dxa"/>
          </w:tcPr>
          <w:p w14:paraId="5C13E10E" w14:textId="77777777" w:rsidR="00D57F42" w:rsidRPr="001511B7" w:rsidRDefault="00D57F42" w:rsidP="00122628">
            <w:pPr>
              <w:spacing w:after="240" w:line="240" w:lineRule="auto"/>
              <w:rPr>
                <w:rFonts w:cs="Calibri"/>
                <w:b/>
                <w:color w:val="000000"/>
              </w:rPr>
            </w:pPr>
            <w:r w:rsidRPr="001511B7">
              <w:rPr>
                <w:rFonts w:cs="Calibri"/>
                <w:b/>
                <w:color w:val="000000"/>
              </w:rPr>
              <w:t>Format:</w:t>
            </w:r>
          </w:p>
        </w:tc>
        <w:tc>
          <w:tcPr>
            <w:tcW w:w="9180" w:type="dxa"/>
            <w:gridSpan w:val="2"/>
          </w:tcPr>
          <w:p w14:paraId="01ADC31C" w14:textId="2A102588" w:rsidR="00D57F42" w:rsidRPr="005545A4" w:rsidRDefault="00D57F42" w:rsidP="00122628">
            <w:pPr>
              <w:autoSpaceDE w:val="0"/>
              <w:autoSpaceDN w:val="0"/>
              <w:adjustRightInd w:val="0"/>
              <w:spacing w:after="120" w:line="240" w:lineRule="auto"/>
              <w:jc w:val="both"/>
            </w:pPr>
            <w:bookmarkStart w:id="0" w:name="_Hlk153370891"/>
            <w:bookmarkStart w:id="1" w:name="_Hlk153371031"/>
            <w:r w:rsidRPr="005545A4">
              <w:t>The panel discussion will be limited to two hours. The opening statement and initial presentations by the panellists will be followed by a two-part interactive discussion and by conclusions from the panellists. A maximum of one hour will be set aside for podium</w:t>
            </w:r>
            <w:r w:rsidR="009104C4">
              <w:t xml:space="preserve"> interventions</w:t>
            </w:r>
            <w:r w:rsidRPr="005545A4">
              <w:t xml:space="preserve">, including the opening statements, panellists’ presentations, </w:t>
            </w:r>
            <w:r w:rsidR="00097876">
              <w:t xml:space="preserve">and </w:t>
            </w:r>
            <w:r w:rsidRPr="005545A4">
              <w:t>their responses to questions and concluding remarks. The remaining hour will be reserved for two segments of interventions from the floor, with each segment consisting of interventions from 14 States or observers, 2 national human rights institution</w:t>
            </w:r>
            <w:r>
              <w:t>s</w:t>
            </w:r>
            <w:r w:rsidRPr="005545A4">
              <w:t xml:space="preserve"> and 4 non-governmental organizations. Each speaker will have 1.5 minutes to raise issues and to ask panellists questions. Panellists will respond to questions and comments during the remaining time available.</w:t>
            </w:r>
            <w:bookmarkEnd w:id="0"/>
          </w:p>
          <w:bookmarkEnd w:id="1"/>
          <w:p w14:paraId="0222C7AB" w14:textId="58F7F153" w:rsidR="00D57F42" w:rsidRPr="00AA7620" w:rsidRDefault="00D57F42" w:rsidP="00122628">
            <w:pPr>
              <w:autoSpaceDE w:val="0"/>
              <w:autoSpaceDN w:val="0"/>
              <w:adjustRightInd w:val="0"/>
              <w:spacing w:after="240" w:line="240" w:lineRule="auto"/>
              <w:jc w:val="both"/>
            </w:pPr>
            <w:r w:rsidRPr="004B5E53">
              <w:t xml:space="preserve">The list of speakers for the discussion will be established through the online inscription system and, as per </w:t>
            </w:r>
            <w:r w:rsidR="00143765">
              <w:t xml:space="preserve">standard </w:t>
            </w:r>
            <w:r w:rsidRPr="004B5E53">
              <w:t xml:space="preserve">practice, statements by high-level dignitaries and groups of States will be moved to the beginning of the list. Delegates who could not take the floor due to time constraints will be able to upload their statements on the online system to be posted on the HRC Extranet. </w:t>
            </w:r>
            <w:bookmarkStart w:id="2" w:name="_Hlk95899451"/>
            <w:r w:rsidRPr="004B5E53">
              <w:t>Interpretation will be provided in the six United Nations official languages (Arabic, Chinese, English, French, Russian and Spanish).</w:t>
            </w:r>
            <w:bookmarkEnd w:id="2"/>
            <w:r w:rsidRPr="00AA7620">
              <w:t xml:space="preserve"> </w:t>
            </w:r>
          </w:p>
        </w:tc>
      </w:tr>
      <w:tr w:rsidR="002D26A2" w:rsidRPr="001511B7" w14:paraId="571C2E7E" w14:textId="77777777" w:rsidTr="00B05DE1">
        <w:trPr>
          <w:trHeight w:val="428"/>
        </w:trPr>
        <w:tc>
          <w:tcPr>
            <w:tcW w:w="1452" w:type="dxa"/>
          </w:tcPr>
          <w:p w14:paraId="7BF324D6" w14:textId="1179538C" w:rsidR="002D26A2" w:rsidRPr="001511B7" w:rsidRDefault="002D26A2" w:rsidP="00122628">
            <w:pPr>
              <w:spacing w:after="240" w:line="240" w:lineRule="auto"/>
              <w:rPr>
                <w:rFonts w:cs="Calibri"/>
                <w:b/>
                <w:color w:val="000000"/>
              </w:rPr>
            </w:pPr>
            <w:r>
              <w:rPr>
                <w:rFonts w:cs="Calibri"/>
                <w:b/>
                <w:color w:val="000000"/>
              </w:rPr>
              <w:t>Accessibility:</w:t>
            </w:r>
          </w:p>
        </w:tc>
        <w:tc>
          <w:tcPr>
            <w:tcW w:w="9180" w:type="dxa"/>
            <w:gridSpan w:val="2"/>
          </w:tcPr>
          <w:p w14:paraId="39D90EDE" w14:textId="44332762" w:rsidR="002D26A2" w:rsidRPr="005545A4" w:rsidRDefault="000F16A1" w:rsidP="00122628">
            <w:pPr>
              <w:autoSpaceDE w:val="0"/>
              <w:autoSpaceDN w:val="0"/>
              <w:adjustRightInd w:val="0"/>
              <w:spacing w:after="240" w:line="240" w:lineRule="auto"/>
              <w:jc w:val="both"/>
            </w:pPr>
            <w:proofErr w:type="gramStart"/>
            <w:r w:rsidRPr="006D43EC">
              <w:rPr>
                <w:bCs/>
                <w:sz w:val="23"/>
                <w:szCs w:val="23"/>
              </w:rPr>
              <w:t>In an effort to</w:t>
            </w:r>
            <w:proofErr w:type="gramEnd"/>
            <w:r w:rsidRPr="006D43EC">
              <w:rPr>
                <w:bCs/>
                <w:sz w:val="23"/>
                <w:szCs w:val="23"/>
              </w:rPr>
              <w:t xml:space="preserve"> render the Human Rights Council more accessible to persons with disabilities and to promote their full participation in the work of the Council on an equal basis with others, the panel discussion will be webcast and made accessible. International sign interpretation and real-time captioning in English will be provided and webcast. Participants can access live English captioning on the </w:t>
            </w:r>
            <w:proofErr w:type="spellStart"/>
            <w:r w:rsidRPr="006D43EC">
              <w:rPr>
                <w:bCs/>
                <w:sz w:val="23"/>
                <w:szCs w:val="23"/>
              </w:rPr>
              <w:t>StreamText</w:t>
            </w:r>
            <w:proofErr w:type="spellEnd"/>
            <w:r w:rsidRPr="006D43EC">
              <w:rPr>
                <w:bCs/>
                <w:sz w:val="23"/>
                <w:szCs w:val="23"/>
              </w:rPr>
              <w:t xml:space="preserve"> web page (</w:t>
            </w:r>
            <w:hyperlink r:id="rId13" w:history="1">
              <w:r w:rsidRPr="006D43EC">
                <w:rPr>
                  <w:rStyle w:val="Hyperlink"/>
                  <w:bCs/>
                  <w:sz w:val="23"/>
                  <w:szCs w:val="23"/>
                </w:rPr>
                <w:t>https://www.streamtext.net/player?event=CFI-UNOG</w:t>
              </w:r>
            </w:hyperlink>
            <w:r w:rsidRPr="006D43EC">
              <w:rPr>
                <w:bCs/>
                <w:sz w:val="23"/>
                <w:szCs w:val="23"/>
              </w:rPr>
              <w:t xml:space="preserve">) during the event itself. </w:t>
            </w:r>
            <w:r w:rsidRPr="006D43EC">
              <w:rPr>
                <w:sz w:val="23"/>
                <w:szCs w:val="23"/>
              </w:rPr>
              <w:t>Hearing loops are available for collection from the Secretariat desk. Oral statements may be embossed in Braille from any of the six official languages of the United Nations, upon request and following the procedure described in the</w:t>
            </w:r>
            <w:r w:rsidRPr="006D43EC">
              <w:rPr>
                <w:i/>
                <w:sz w:val="23"/>
                <w:szCs w:val="23"/>
              </w:rPr>
              <w:t xml:space="preserve"> Accessibility guide to the Human Rights Council for persons with disabilities</w:t>
            </w:r>
            <w:r w:rsidRPr="006D43EC">
              <w:rPr>
                <w:sz w:val="23"/>
                <w:szCs w:val="23"/>
              </w:rPr>
              <w:t xml:space="preserve"> (</w:t>
            </w:r>
            <w:hyperlink r:id="rId14" w:history="1">
              <w:r w:rsidRPr="006D43EC">
                <w:rPr>
                  <w:rStyle w:val="Hyperlink"/>
                  <w:sz w:val="23"/>
                  <w:szCs w:val="23"/>
                </w:rPr>
                <w:t>https://www.ohchr.org/en/hr-bodies/hrc/accessibility</w:t>
              </w:r>
            </w:hyperlink>
            <w:r w:rsidRPr="006D43EC">
              <w:rPr>
                <w:sz w:val="23"/>
                <w:szCs w:val="23"/>
              </w:rPr>
              <w:t>).</w:t>
            </w:r>
          </w:p>
        </w:tc>
      </w:tr>
      <w:tr w:rsidR="00D57F42" w:rsidRPr="00F1082A" w14:paraId="57FF3999" w14:textId="77777777" w:rsidTr="00B05DE1">
        <w:trPr>
          <w:gridAfter w:val="1"/>
          <w:wAfter w:w="46" w:type="dxa"/>
        </w:trPr>
        <w:tc>
          <w:tcPr>
            <w:tcW w:w="1452" w:type="dxa"/>
          </w:tcPr>
          <w:p w14:paraId="63E2A951" w14:textId="19E1522B" w:rsidR="00D57F42" w:rsidRPr="00F1082A" w:rsidRDefault="0040022A" w:rsidP="00122628">
            <w:pPr>
              <w:spacing w:after="0" w:line="240" w:lineRule="auto"/>
              <w:jc w:val="both"/>
              <w:rPr>
                <w:rFonts w:asciiTheme="minorHAnsi" w:hAnsiTheme="minorHAnsi" w:cstheme="minorHAnsi"/>
                <w:b/>
                <w:bCs/>
                <w:color w:val="000000"/>
                <w:lang w:val="fr-CH"/>
              </w:rPr>
            </w:pPr>
            <w:r w:rsidRPr="0070713F">
              <w:rPr>
                <w:rFonts w:asciiTheme="minorHAnsi" w:hAnsiTheme="minorHAnsi" w:cstheme="minorHAnsi"/>
                <w:b/>
                <w:bCs/>
                <w:color w:val="000000"/>
              </w:rPr>
              <w:t>Related</w:t>
            </w:r>
            <w:r w:rsidRPr="00F1082A">
              <w:rPr>
                <w:rFonts w:asciiTheme="minorHAnsi" w:hAnsiTheme="minorHAnsi" w:cstheme="minorHAnsi"/>
                <w:b/>
                <w:bCs/>
                <w:color w:val="000000"/>
                <w:lang w:val="fr-CH"/>
              </w:rPr>
              <w:t xml:space="preserve"> </w:t>
            </w:r>
          </w:p>
          <w:p w14:paraId="09868436" w14:textId="77777777" w:rsidR="00D57F42" w:rsidRPr="00F1082A" w:rsidRDefault="00D57F42" w:rsidP="00122628">
            <w:pPr>
              <w:spacing w:after="0" w:line="240" w:lineRule="auto"/>
              <w:jc w:val="both"/>
              <w:rPr>
                <w:rFonts w:asciiTheme="minorHAnsi" w:hAnsiTheme="minorHAnsi" w:cstheme="minorHAnsi"/>
                <w:b/>
                <w:bCs/>
                <w:color w:val="000000"/>
                <w:lang w:val="fr-CH"/>
              </w:rPr>
            </w:pPr>
            <w:proofErr w:type="gramStart"/>
            <w:r w:rsidRPr="00F1082A">
              <w:rPr>
                <w:rFonts w:asciiTheme="minorHAnsi" w:hAnsiTheme="minorHAnsi" w:cstheme="minorHAnsi"/>
                <w:b/>
                <w:bCs/>
                <w:color w:val="000000"/>
                <w:lang w:val="fr-CH"/>
              </w:rPr>
              <w:t>documents:</w:t>
            </w:r>
            <w:proofErr w:type="gramEnd"/>
          </w:p>
        </w:tc>
        <w:tc>
          <w:tcPr>
            <w:tcW w:w="9134" w:type="dxa"/>
          </w:tcPr>
          <w:p w14:paraId="727B9075" w14:textId="19EEDF49" w:rsidR="002A5625" w:rsidRPr="002A5625" w:rsidRDefault="002A5625" w:rsidP="00122628">
            <w:pPr>
              <w:pStyle w:val="NoSpacing"/>
              <w:numPr>
                <w:ilvl w:val="0"/>
                <w:numId w:val="7"/>
              </w:numPr>
              <w:ind w:left="357"/>
              <w:jc w:val="both"/>
              <w:rPr>
                <w:rFonts w:asciiTheme="minorHAnsi" w:hAnsiTheme="minorHAnsi" w:cstheme="minorHAnsi"/>
              </w:rPr>
            </w:pPr>
            <w:hyperlink r:id="rId15" w:history="1">
              <w:r w:rsidRPr="008F705B">
                <w:rPr>
                  <w:rStyle w:val="Hyperlink"/>
                  <w:rFonts w:asciiTheme="minorHAnsi" w:hAnsiTheme="minorHAnsi" w:cstheme="minorHAnsi"/>
                </w:rPr>
                <w:t xml:space="preserve">Human Rights Council </w:t>
              </w:r>
              <w:r w:rsidRPr="008F705B">
                <w:rPr>
                  <w:rStyle w:val="Hyperlink"/>
                  <w:lang w:val="en-US"/>
                </w:rPr>
                <w:t>resolution 60/16</w:t>
              </w:r>
            </w:hyperlink>
            <w:r w:rsidR="001C6731">
              <w:t xml:space="preserve"> of </w:t>
            </w:r>
            <w:r w:rsidR="001C6731" w:rsidRPr="001C6731">
              <w:t>7 October 2025</w:t>
            </w:r>
            <w:r w:rsidR="008F705B">
              <w:t xml:space="preserve"> entitled</w:t>
            </w:r>
            <w:r>
              <w:t xml:space="preserve"> </w:t>
            </w:r>
            <w:r w:rsidR="00037B2A">
              <w:rPr>
                <w:rFonts w:asciiTheme="minorHAnsi" w:hAnsiTheme="minorHAnsi" w:cstheme="minorHAnsi"/>
              </w:rPr>
              <w:t>“From rhetoric to reality: a global call for concrete action for the elimination of racism, racial discrimination, xenophobia and related intolerance”</w:t>
            </w:r>
          </w:p>
          <w:p w14:paraId="088AC1CB" w14:textId="04589CD0" w:rsidR="00D57F42" w:rsidRDefault="00D2513E" w:rsidP="00122628">
            <w:pPr>
              <w:pStyle w:val="NoSpacing"/>
              <w:numPr>
                <w:ilvl w:val="0"/>
                <w:numId w:val="7"/>
              </w:numPr>
              <w:ind w:left="357"/>
              <w:jc w:val="both"/>
              <w:rPr>
                <w:rFonts w:asciiTheme="minorHAnsi" w:hAnsiTheme="minorHAnsi" w:cstheme="minorHAnsi"/>
              </w:rPr>
            </w:pPr>
            <w:hyperlink r:id="rId16" w:history="1">
              <w:r w:rsidRPr="003D17A3">
                <w:rPr>
                  <w:rStyle w:val="Hyperlink"/>
                  <w:lang w:val="en-US"/>
                </w:rPr>
                <w:t>General Assembly</w:t>
              </w:r>
              <w:r w:rsidRPr="003D17A3">
                <w:rPr>
                  <w:rStyle w:val="Hyperlink"/>
                </w:rPr>
                <w:t xml:space="preserve"> resolution</w:t>
              </w:r>
              <w:r w:rsidR="003D17A3" w:rsidRPr="003D17A3">
                <w:rPr>
                  <w:rStyle w:val="Hyperlink"/>
                </w:rPr>
                <w:t xml:space="preserve"> 80/193</w:t>
              </w:r>
            </w:hyperlink>
            <w:r w:rsidR="001839C6">
              <w:rPr>
                <w:lang w:val="en-US"/>
              </w:rPr>
              <w:t xml:space="preserve"> of </w:t>
            </w:r>
            <w:r w:rsidR="00CF01D0" w:rsidRPr="00CF01D0">
              <w:rPr>
                <w:lang w:val="en-US"/>
              </w:rPr>
              <w:t>15 December 2025</w:t>
            </w:r>
            <w:r w:rsidR="00CF01D0">
              <w:rPr>
                <w:lang w:val="en-US"/>
              </w:rPr>
              <w:t xml:space="preserve"> </w:t>
            </w:r>
            <w:r w:rsidR="008F705B">
              <w:rPr>
                <w:rFonts w:asciiTheme="minorHAnsi" w:hAnsiTheme="minorHAnsi" w:cstheme="minorHAnsi"/>
              </w:rPr>
              <w:t xml:space="preserve">entitled </w:t>
            </w:r>
            <w:r w:rsidR="00D57F42" w:rsidRPr="00F1082A">
              <w:rPr>
                <w:rFonts w:asciiTheme="minorHAnsi" w:hAnsiTheme="minorHAnsi" w:cstheme="minorHAnsi"/>
              </w:rPr>
              <w:t>“A global call for concrete action for the elimination of racism, racial discrimination, xenophobia and related intolerance and the comprehensive implementation of and follow-up to the Durban Declaration and Programme of Action”</w:t>
            </w:r>
          </w:p>
          <w:p w14:paraId="0A1B4294" w14:textId="77777777" w:rsidR="00D57F42" w:rsidRPr="00F1082A" w:rsidRDefault="00D57F42" w:rsidP="00122628">
            <w:pPr>
              <w:pStyle w:val="Default"/>
              <w:numPr>
                <w:ilvl w:val="0"/>
                <w:numId w:val="7"/>
              </w:numPr>
              <w:ind w:left="357"/>
              <w:jc w:val="both"/>
              <w:rPr>
                <w:rFonts w:asciiTheme="minorHAnsi" w:hAnsiTheme="minorHAnsi" w:cstheme="minorHAnsi"/>
                <w:sz w:val="22"/>
                <w:szCs w:val="22"/>
                <w:lang w:val="en-IN"/>
              </w:rPr>
            </w:pPr>
            <w:hyperlink r:id="rId17" w:history="1">
              <w:r w:rsidRPr="00F1082A">
                <w:rPr>
                  <w:rStyle w:val="Hyperlink"/>
                  <w:rFonts w:asciiTheme="minorHAnsi" w:hAnsiTheme="minorHAnsi" w:cstheme="minorHAnsi"/>
                  <w:sz w:val="22"/>
                  <w:szCs w:val="22"/>
                  <w:lang w:val="en-IN"/>
                </w:rPr>
                <w:t>Durban Declaration and Programme of Action</w:t>
              </w:r>
            </w:hyperlink>
            <w:r w:rsidRPr="00F1082A">
              <w:rPr>
                <w:rFonts w:asciiTheme="minorHAnsi" w:hAnsiTheme="minorHAnsi" w:cstheme="minorHAnsi"/>
                <w:sz w:val="22"/>
                <w:szCs w:val="22"/>
                <w:lang w:val="en-IN"/>
              </w:rPr>
              <w:t xml:space="preserve"> (2001)</w:t>
            </w:r>
          </w:p>
          <w:p w14:paraId="4A3CD7EF" w14:textId="77777777" w:rsidR="00B307AD" w:rsidRDefault="00D57F42" w:rsidP="00122628">
            <w:pPr>
              <w:pStyle w:val="ListParagraph"/>
              <w:numPr>
                <w:ilvl w:val="0"/>
                <w:numId w:val="7"/>
              </w:numPr>
              <w:spacing w:after="0" w:line="240" w:lineRule="auto"/>
              <w:ind w:left="357"/>
              <w:jc w:val="both"/>
              <w:rPr>
                <w:rFonts w:asciiTheme="minorHAnsi" w:hAnsiTheme="minorHAnsi" w:cstheme="minorHAnsi"/>
              </w:rPr>
            </w:pPr>
            <w:hyperlink r:id="rId18" w:history="1">
              <w:r w:rsidRPr="00E565FC">
                <w:rPr>
                  <w:rStyle w:val="Hyperlink"/>
                  <w:rFonts w:asciiTheme="minorHAnsi" w:hAnsiTheme="minorHAnsi" w:cstheme="minorHAnsi"/>
                </w:rPr>
                <w:t>Outcome Document of the Durban Review Conference</w:t>
              </w:r>
            </w:hyperlink>
            <w:r w:rsidRPr="00E565FC">
              <w:rPr>
                <w:rFonts w:asciiTheme="minorHAnsi" w:hAnsiTheme="minorHAnsi" w:cstheme="minorHAnsi"/>
              </w:rPr>
              <w:t xml:space="preserve"> (2009)</w:t>
            </w:r>
          </w:p>
          <w:p w14:paraId="21100FD2" w14:textId="25AE32FC" w:rsidR="00381F16" w:rsidRDefault="00B91FC9" w:rsidP="00122628">
            <w:pPr>
              <w:pStyle w:val="ListParagraph"/>
              <w:numPr>
                <w:ilvl w:val="0"/>
                <w:numId w:val="7"/>
              </w:numPr>
              <w:spacing w:after="0" w:line="240" w:lineRule="auto"/>
              <w:ind w:left="357"/>
              <w:jc w:val="both"/>
              <w:rPr>
                <w:rFonts w:asciiTheme="minorHAnsi" w:hAnsiTheme="minorHAnsi" w:cstheme="minorHAnsi"/>
              </w:rPr>
            </w:pPr>
            <w:hyperlink r:id="rId19" w:history="1">
              <w:r w:rsidRPr="00B91FC9">
                <w:rPr>
                  <w:rStyle w:val="Hyperlink"/>
                  <w:rFonts w:asciiTheme="minorHAnsi" w:hAnsiTheme="minorHAnsi" w:cstheme="minorHAnsi"/>
                </w:rPr>
                <w:t>10th Anniversary of the Durban Declaration and Programme of Action, General Assembly High-level Meeting, September 2011</w:t>
              </w:r>
            </w:hyperlink>
          </w:p>
          <w:p w14:paraId="01D329DD" w14:textId="77777777" w:rsidR="00FA4209" w:rsidRDefault="00FA4209" w:rsidP="00122628">
            <w:pPr>
              <w:pStyle w:val="ListParagraph"/>
              <w:numPr>
                <w:ilvl w:val="0"/>
                <w:numId w:val="7"/>
              </w:numPr>
              <w:spacing w:after="0" w:line="240" w:lineRule="auto"/>
              <w:ind w:left="357"/>
              <w:jc w:val="both"/>
              <w:rPr>
                <w:rFonts w:asciiTheme="minorHAnsi" w:hAnsiTheme="minorHAnsi" w:cstheme="minorHAnsi"/>
              </w:rPr>
            </w:pPr>
            <w:hyperlink r:id="rId20" w:history="1">
              <w:r w:rsidRPr="00E565FC">
                <w:rPr>
                  <w:rStyle w:val="Hyperlink"/>
                  <w:rFonts w:asciiTheme="minorHAnsi" w:hAnsiTheme="minorHAnsi" w:cstheme="minorHAnsi"/>
                </w:rPr>
                <w:t>Durban Plus 20 High-level Meeting | United Nations</w:t>
              </w:r>
            </w:hyperlink>
            <w:r w:rsidRPr="00E565FC">
              <w:rPr>
                <w:rFonts w:asciiTheme="minorHAnsi" w:hAnsiTheme="minorHAnsi" w:cstheme="minorHAnsi"/>
              </w:rPr>
              <w:t xml:space="preserve"> (2021)</w:t>
            </w:r>
          </w:p>
          <w:p w14:paraId="0A2C8D2F" w14:textId="7750D169" w:rsidR="0055301C" w:rsidRPr="005511D4" w:rsidRDefault="005511D4" w:rsidP="00122628">
            <w:pPr>
              <w:pStyle w:val="ListParagraph"/>
              <w:numPr>
                <w:ilvl w:val="0"/>
                <w:numId w:val="7"/>
              </w:numPr>
              <w:spacing w:after="0" w:line="240" w:lineRule="auto"/>
              <w:jc w:val="both"/>
              <w:rPr>
                <w:rFonts w:asciiTheme="minorHAnsi" w:hAnsiTheme="minorHAnsi" w:cstheme="minorHAnsi"/>
              </w:rPr>
            </w:pPr>
            <w:hyperlink r:id="rId21" w:history="1">
              <w:r w:rsidRPr="001C1ED3">
                <w:rPr>
                  <w:rStyle w:val="Hyperlink"/>
                </w:rPr>
                <w:t>OHCHR publication “United against Racism, Racial Discrimination, Xenophobia and Related Intolerance”</w:t>
              </w:r>
            </w:hyperlink>
            <w:r>
              <w:t xml:space="preserve"> (2024)</w:t>
            </w:r>
          </w:p>
          <w:p w14:paraId="3A8CCE58" w14:textId="735957C2" w:rsidR="00FA4209" w:rsidRPr="00E565FC" w:rsidRDefault="00BE6D08" w:rsidP="00122628">
            <w:pPr>
              <w:pStyle w:val="ListParagraph"/>
              <w:numPr>
                <w:ilvl w:val="0"/>
                <w:numId w:val="7"/>
              </w:numPr>
              <w:spacing w:after="0" w:line="240" w:lineRule="auto"/>
              <w:ind w:left="357"/>
              <w:jc w:val="both"/>
              <w:rPr>
                <w:rFonts w:asciiTheme="minorHAnsi" w:hAnsiTheme="minorHAnsi" w:cstheme="minorHAnsi"/>
              </w:rPr>
            </w:pPr>
            <w:r>
              <w:t>OHCHR web</w:t>
            </w:r>
            <w:r w:rsidR="00A47DFE">
              <w:t xml:space="preserve"> page “</w:t>
            </w:r>
            <w:hyperlink r:id="rId22" w:history="1">
              <w:r w:rsidR="00FA4209" w:rsidRPr="00FA4209">
                <w:rPr>
                  <w:rStyle w:val="Hyperlink"/>
                  <w:rFonts w:asciiTheme="minorHAnsi" w:hAnsiTheme="minorHAnsi" w:cstheme="minorHAnsi"/>
                </w:rPr>
                <w:t>Fighting Racism, 20 Years on from the adoption of the Durban Declaration and Programme of Action</w:t>
              </w:r>
              <w:r w:rsidR="00A47DFE">
                <w:rPr>
                  <w:rStyle w:val="Hyperlink"/>
                  <w:rFonts w:asciiTheme="minorHAnsi" w:hAnsiTheme="minorHAnsi" w:cstheme="minorHAnsi"/>
                </w:rPr>
                <w:t>”</w:t>
              </w:r>
            </w:hyperlink>
          </w:p>
          <w:p w14:paraId="7B23DCA1" w14:textId="77777777" w:rsidR="00E565FC" w:rsidRPr="008F333B" w:rsidRDefault="00E565FC" w:rsidP="00122628">
            <w:pPr>
              <w:pStyle w:val="NoSpacing"/>
              <w:numPr>
                <w:ilvl w:val="0"/>
                <w:numId w:val="7"/>
              </w:numPr>
              <w:ind w:left="357"/>
              <w:jc w:val="both"/>
              <w:rPr>
                <w:rFonts w:asciiTheme="minorHAnsi" w:hAnsiTheme="minorHAnsi" w:cstheme="minorHAnsi"/>
              </w:rPr>
            </w:pPr>
            <w:hyperlink r:id="rId23" w:history="1">
              <w:r>
                <w:rPr>
                  <w:rStyle w:val="Hyperlink"/>
                  <w:rFonts w:asciiTheme="minorHAnsi" w:hAnsiTheme="minorHAnsi" w:cstheme="minorHAnsi"/>
                </w:rPr>
                <w:t>International Convention on the Elimination of All Forms of Racial Discrimination</w:t>
              </w:r>
            </w:hyperlink>
          </w:p>
          <w:p w14:paraId="302BCF85" w14:textId="77777777" w:rsidR="00A80458" w:rsidRPr="00A80458" w:rsidRDefault="00E47321" w:rsidP="00122628">
            <w:pPr>
              <w:pStyle w:val="ListParagraph"/>
              <w:numPr>
                <w:ilvl w:val="0"/>
                <w:numId w:val="7"/>
              </w:numPr>
              <w:spacing w:after="0" w:line="240" w:lineRule="auto"/>
              <w:ind w:left="357"/>
              <w:jc w:val="both"/>
              <w:rPr>
                <w:rFonts w:asciiTheme="minorHAnsi" w:hAnsiTheme="minorHAnsi" w:cstheme="minorHAnsi"/>
              </w:rPr>
            </w:pPr>
            <w:hyperlink r:id="rId24" w:history="1">
              <w:r w:rsidRPr="00E565FC">
                <w:rPr>
                  <w:rStyle w:val="Hyperlink"/>
                  <w:rFonts w:asciiTheme="minorHAnsi" w:hAnsiTheme="minorHAnsi" w:cstheme="minorHAnsi"/>
                </w:rPr>
                <w:t xml:space="preserve">General </w:t>
              </w:r>
              <w:r w:rsidR="00EC25F5" w:rsidRPr="00E565FC">
                <w:rPr>
                  <w:rStyle w:val="Hyperlink"/>
                  <w:rFonts w:asciiTheme="minorHAnsi" w:hAnsiTheme="minorHAnsi" w:cstheme="minorHAnsi"/>
                </w:rPr>
                <w:t>r</w:t>
              </w:r>
              <w:r w:rsidRPr="00E565FC">
                <w:rPr>
                  <w:rStyle w:val="Hyperlink"/>
                  <w:rFonts w:asciiTheme="minorHAnsi" w:hAnsiTheme="minorHAnsi" w:cstheme="minorHAnsi"/>
                </w:rPr>
                <w:t xml:space="preserve">ecommendations </w:t>
              </w:r>
              <w:r w:rsidR="00D1487E" w:rsidRPr="00E565FC">
                <w:rPr>
                  <w:rStyle w:val="Hyperlink"/>
                  <w:rFonts w:asciiTheme="minorHAnsi" w:hAnsiTheme="minorHAnsi" w:cstheme="minorHAnsi"/>
                </w:rPr>
                <w:t>of the Committee on the Elimination of Racial Discrimination</w:t>
              </w:r>
            </w:hyperlink>
          </w:p>
          <w:p w14:paraId="1B19EE7D" w14:textId="0214E233" w:rsidR="0078511D" w:rsidRPr="00000715" w:rsidRDefault="0078511D" w:rsidP="00122628">
            <w:pPr>
              <w:pStyle w:val="ListParagraph"/>
              <w:numPr>
                <w:ilvl w:val="0"/>
                <w:numId w:val="7"/>
              </w:numPr>
              <w:spacing w:after="0" w:line="240" w:lineRule="auto"/>
              <w:ind w:left="357"/>
              <w:jc w:val="both"/>
              <w:rPr>
                <w:rFonts w:asciiTheme="minorHAnsi" w:hAnsiTheme="minorHAnsi" w:cstheme="minorHAnsi"/>
              </w:rPr>
            </w:pPr>
            <w:hyperlink r:id="rId25" w:history="1">
              <w:r w:rsidRPr="004367FE">
                <w:rPr>
                  <w:rFonts w:asciiTheme="minorHAnsi" w:hAnsiTheme="minorHAnsi" w:cstheme="minorHAnsi"/>
                  <w:lang w:bidi="th-TH"/>
                </w:rPr>
                <w:t>A global call for concrete action for the elimination of racism, racial discrimination, xenophobia and related intolerance and the comprehensive implementation of and follow-up to the Durban Declaration and Programme of Action</w:t>
              </w:r>
            </w:hyperlink>
            <w:r w:rsidR="006A78A2">
              <w:t xml:space="preserve"> - Report of the Secretary-General </w:t>
            </w:r>
            <w:r w:rsidRPr="00B1036F">
              <w:rPr>
                <w:rFonts w:asciiTheme="minorHAnsi" w:hAnsiTheme="minorHAnsi" w:cstheme="minorHAnsi"/>
                <w:lang w:bidi="th-TH"/>
              </w:rPr>
              <w:t>(</w:t>
            </w:r>
            <w:hyperlink r:id="rId26" w:tgtFrame="_blank" w:history="1">
              <w:r w:rsidRPr="00C71C02">
                <w:rPr>
                  <w:rStyle w:val="Hyperlink"/>
                  <w:rFonts w:asciiTheme="minorHAnsi" w:hAnsiTheme="minorHAnsi" w:cstheme="minorHAnsi"/>
                  <w:lang w:bidi="th-TH"/>
                </w:rPr>
                <w:t>A/80/324</w:t>
              </w:r>
            </w:hyperlink>
            <w:r w:rsidRPr="00B1036F">
              <w:rPr>
                <w:rFonts w:asciiTheme="minorHAnsi" w:hAnsiTheme="minorHAnsi" w:cstheme="minorHAnsi"/>
                <w:lang w:val="en-CH" w:bidi="th-TH"/>
              </w:rPr>
              <w:t>)</w:t>
            </w:r>
          </w:p>
          <w:p w14:paraId="44091460" w14:textId="14B41FAC" w:rsidR="00000715" w:rsidRPr="00B1036F" w:rsidRDefault="00000715" w:rsidP="00122628">
            <w:pPr>
              <w:pStyle w:val="ListParagraph"/>
              <w:numPr>
                <w:ilvl w:val="0"/>
                <w:numId w:val="7"/>
              </w:numPr>
              <w:spacing w:after="0" w:line="240" w:lineRule="auto"/>
              <w:ind w:left="357"/>
              <w:jc w:val="both"/>
              <w:rPr>
                <w:rFonts w:asciiTheme="minorHAnsi" w:hAnsiTheme="minorHAnsi" w:cstheme="minorHAnsi"/>
              </w:rPr>
            </w:pPr>
            <w:r w:rsidRPr="002317C6">
              <w:rPr>
                <w:rFonts w:asciiTheme="minorHAnsi" w:hAnsiTheme="minorHAnsi" w:cstheme="minorHAnsi"/>
              </w:rPr>
              <w:t>Contribution of the treaty bodies to the implementation of the Durban Declaration and Programme of Action - Report of the Office of the United Nations High Commissioner for Human Right</w:t>
            </w:r>
            <w:r w:rsidR="009C65A9">
              <w:t>s</w:t>
            </w:r>
            <w:r>
              <w:rPr>
                <w:rFonts w:asciiTheme="minorHAnsi" w:hAnsiTheme="minorHAnsi" w:cstheme="minorHAnsi"/>
              </w:rPr>
              <w:t xml:space="preserve"> (</w:t>
            </w:r>
            <w:hyperlink r:id="rId27" w:history="1">
              <w:r w:rsidRPr="00E70292">
                <w:rPr>
                  <w:rStyle w:val="Hyperlink"/>
                  <w:rFonts w:asciiTheme="minorHAnsi" w:hAnsiTheme="minorHAnsi" w:cstheme="minorHAnsi"/>
                </w:rPr>
                <w:t>A/HRC/60/78</w:t>
              </w:r>
            </w:hyperlink>
            <w:r>
              <w:rPr>
                <w:rFonts w:asciiTheme="minorHAnsi" w:hAnsiTheme="minorHAnsi" w:cstheme="minorHAnsi"/>
              </w:rPr>
              <w:t>)</w:t>
            </w:r>
          </w:p>
          <w:p w14:paraId="44B9579A" w14:textId="102B32EF" w:rsidR="006A21DC" w:rsidRPr="006A21DC" w:rsidRDefault="007934C9" w:rsidP="00122628">
            <w:pPr>
              <w:pStyle w:val="ListParagraph"/>
              <w:numPr>
                <w:ilvl w:val="0"/>
                <w:numId w:val="7"/>
              </w:numPr>
              <w:spacing w:after="0" w:line="240" w:lineRule="auto"/>
              <w:ind w:left="357"/>
              <w:jc w:val="both"/>
              <w:rPr>
                <w:rFonts w:asciiTheme="minorHAnsi" w:hAnsiTheme="minorHAnsi" w:cstheme="minorHAnsi"/>
              </w:rPr>
            </w:pPr>
            <w:r w:rsidRPr="002317C6">
              <w:rPr>
                <w:rFonts w:asciiTheme="minorHAnsi" w:hAnsiTheme="minorHAnsi" w:cstheme="minorHAnsi"/>
              </w:rPr>
              <w:t>Road map to commemorate the twenty-fifth anniversary of the adoption of the Durban Declaration and Programme of Action - Report of the Intergovernmental Working Group on the Effective Implementation of the Durban Declaration and Programme of Action</w:t>
            </w:r>
            <w:r>
              <w:rPr>
                <w:rFonts w:asciiTheme="minorHAnsi" w:hAnsiTheme="minorHAnsi" w:cstheme="minorHAnsi"/>
              </w:rPr>
              <w:t xml:space="preserve"> (</w:t>
            </w:r>
            <w:hyperlink r:id="rId28" w:history="1">
              <w:r w:rsidR="006A21DC" w:rsidRPr="002317C6">
                <w:rPr>
                  <w:rStyle w:val="Hyperlink"/>
                  <w:rFonts w:asciiTheme="minorHAnsi" w:hAnsiTheme="minorHAnsi" w:cstheme="minorHAnsi"/>
                </w:rPr>
                <w:t>A/HRC/60/76</w:t>
              </w:r>
            </w:hyperlink>
            <w:r>
              <w:rPr>
                <w:rFonts w:asciiTheme="minorHAnsi" w:hAnsiTheme="minorHAnsi" w:cstheme="minorHAnsi"/>
              </w:rPr>
              <w:t>)</w:t>
            </w:r>
          </w:p>
          <w:p w14:paraId="24135175" w14:textId="25B33C1A" w:rsidR="00FA4209" w:rsidRPr="00DA053F" w:rsidRDefault="007949E1" w:rsidP="00122628">
            <w:pPr>
              <w:pStyle w:val="ListParagraph"/>
              <w:numPr>
                <w:ilvl w:val="0"/>
                <w:numId w:val="7"/>
              </w:numPr>
              <w:spacing w:after="0" w:line="240" w:lineRule="auto"/>
              <w:ind w:left="357"/>
              <w:jc w:val="both"/>
              <w:rPr>
                <w:rFonts w:asciiTheme="minorHAnsi" w:hAnsiTheme="minorHAnsi" w:cstheme="minorHAnsi"/>
              </w:rPr>
            </w:pPr>
            <w:r w:rsidRPr="006333D0">
              <w:rPr>
                <w:color w:val="000000" w:themeColor="text1"/>
              </w:rPr>
              <w:t>Report of the Group of Independent Eminent Experts on the Implementation of the Durban Declaration and Programme of Action on its eleventh session</w:t>
            </w:r>
            <w:r w:rsidR="006333D0">
              <w:rPr>
                <w:color w:val="000000" w:themeColor="text1"/>
              </w:rPr>
              <w:t xml:space="preserve"> </w:t>
            </w:r>
            <w:r w:rsidR="00DA053F" w:rsidRPr="006333D0">
              <w:t>(</w:t>
            </w:r>
            <w:hyperlink r:id="rId29" w:history="1">
              <w:r w:rsidRPr="006333D0">
                <w:rPr>
                  <w:color w:val="0000FF"/>
                  <w:u w:val="single"/>
                </w:rPr>
                <w:t>A/HRC/60/79</w:t>
              </w:r>
              <w:r w:rsidR="00A80458" w:rsidRPr="00A80458">
                <w:t>)</w:t>
              </w:r>
            </w:hyperlink>
          </w:p>
          <w:p w14:paraId="5BBBE120" w14:textId="7A633C0D" w:rsidR="00D05DD8" w:rsidRPr="00D05DD8" w:rsidRDefault="00F81E2C" w:rsidP="00122628">
            <w:pPr>
              <w:pStyle w:val="ListParagraph"/>
              <w:numPr>
                <w:ilvl w:val="0"/>
                <w:numId w:val="7"/>
              </w:numPr>
              <w:spacing w:after="0" w:line="240" w:lineRule="auto"/>
              <w:ind w:left="357"/>
              <w:jc w:val="both"/>
              <w:rPr>
                <w:rFonts w:asciiTheme="minorHAnsi" w:hAnsiTheme="minorHAnsi" w:cstheme="minorHAnsi"/>
                <w:color w:val="0000FF"/>
                <w:u w:val="single"/>
                <w:lang w:val="en-CH" w:bidi="th-TH"/>
              </w:rPr>
            </w:pPr>
            <w:r w:rsidRPr="00442365">
              <w:rPr>
                <w:rFonts w:asciiTheme="minorHAnsi" w:hAnsiTheme="minorHAnsi" w:cstheme="minorHAnsi"/>
              </w:rPr>
              <w:t>Comprehensive study of the Group of Independent Eminent Experts on the Implementation of the Durban Declaration and Programme of Action</w:t>
            </w:r>
            <w:r w:rsidRPr="004842C2">
              <w:rPr>
                <w:rFonts w:asciiTheme="minorHAnsi" w:hAnsiTheme="minorHAnsi" w:cstheme="minorHAnsi"/>
              </w:rPr>
              <w:t xml:space="preserve"> </w:t>
            </w:r>
            <w:r w:rsidR="004842C2" w:rsidRPr="004842C2">
              <w:rPr>
                <w:rFonts w:asciiTheme="minorHAnsi" w:hAnsiTheme="minorHAnsi" w:cstheme="minorHAnsi"/>
              </w:rPr>
              <w:t>(</w:t>
            </w:r>
            <w:hyperlink r:id="rId30" w:history="1">
              <w:r w:rsidR="00DA053F" w:rsidRPr="00442365">
                <w:rPr>
                  <w:rStyle w:val="Hyperlink"/>
                  <w:rFonts w:asciiTheme="minorHAnsi" w:hAnsiTheme="minorHAnsi" w:cstheme="minorHAnsi"/>
                </w:rPr>
                <w:t>A/HRC/60/74</w:t>
              </w:r>
            </w:hyperlink>
            <w:r w:rsidR="004842C2" w:rsidRPr="004842C2">
              <w:rPr>
                <w:rFonts w:asciiTheme="minorHAnsi" w:hAnsiTheme="minorHAnsi" w:cstheme="minorHAnsi"/>
              </w:rPr>
              <w:t>)</w:t>
            </w:r>
          </w:p>
          <w:p w14:paraId="6914A4B2" w14:textId="570D8511" w:rsidR="00FA4209" w:rsidRPr="00FA4209" w:rsidRDefault="00F27498" w:rsidP="00122628">
            <w:pPr>
              <w:pStyle w:val="ListParagraph"/>
              <w:numPr>
                <w:ilvl w:val="0"/>
                <w:numId w:val="7"/>
              </w:numPr>
              <w:spacing w:after="0" w:line="240" w:lineRule="auto"/>
              <w:ind w:left="357"/>
              <w:jc w:val="both"/>
              <w:rPr>
                <w:rFonts w:asciiTheme="minorHAnsi" w:hAnsiTheme="minorHAnsi" w:cstheme="minorHAnsi"/>
                <w:color w:val="0000FF"/>
                <w:u w:val="single"/>
                <w:lang w:val="en-CH" w:bidi="th-TH"/>
              </w:rPr>
            </w:pPr>
            <w:r w:rsidRPr="00453704">
              <w:rPr>
                <w:rFonts w:asciiTheme="minorHAnsi" w:hAnsiTheme="minorHAnsi" w:cstheme="minorHAnsi"/>
                <w:lang w:bidi="th-TH"/>
              </w:rPr>
              <w:t>Status report of the Intergovernmental Working Group on the Effective Implementation of the Durban Declaration and Programme of Action on the elaboration of the draft United Nations declaration on the respect, protection and fulfilment of the human rights of people of African descent - Note by the Secretary-General</w:t>
            </w:r>
            <w:r w:rsidR="000F16A1">
              <w:t xml:space="preserve"> </w:t>
            </w:r>
            <w:r w:rsidR="00D05DD8" w:rsidRPr="00D05DD8">
              <w:rPr>
                <w:rFonts w:asciiTheme="minorHAnsi" w:hAnsiTheme="minorHAnsi" w:cstheme="minorHAnsi"/>
                <w:lang w:val="en-CH" w:bidi="th-TH"/>
              </w:rPr>
              <w:t>(</w:t>
            </w:r>
            <w:hyperlink r:id="rId31" w:history="1">
              <w:r w:rsidR="00D05DD8" w:rsidRPr="00453704">
                <w:rPr>
                  <w:rStyle w:val="Hyperlink"/>
                  <w:rFonts w:asciiTheme="minorHAnsi" w:hAnsiTheme="minorHAnsi" w:cstheme="minorHAnsi"/>
                  <w:lang w:val="en-CH" w:bidi="th-TH"/>
                </w:rPr>
                <w:t>A/80/326</w:t>
              </w:r>
            </w:hyperlink>
            <w:r w:rsidR="00D05DD8" w:rsidRPr="00D05DD8">
              <w:rPr>
                <w:rFonts w:asciiTheme="minorHAnsi" w:hAnsiTheme="minorHAnsi" w:cstheme="minorHAnsi"/>
                <w:lang w:val="en-CH" w:bidi="th-TH"/>
              </w:rPr>
              <w:t>)</w:t>
            </w:r>
          </w:p>
        </w:tc>
      </w:tr>
    </w:tbl>
    <w:p w14:paraId="254DBCF3" w14:textId="77777777" w:rsidR="00F04C97" w:rsidRDefault="00F04C97" w:rsidP="00122628">
      <w:pPr>
        <w:spacing w:after="240" w:line="240" w:lineRule="auto"/>
        <w:jc w:val="both"/>
      </w:pPr>
    </w:p>
    <w:sectPr w:rsidR="00F04C97" w:rsidSect="00D57F42">
      <w:footerReference w:type="default" r:id="rId32"/>
      <w:pgSz w:w="11906" w:h="16838"/>
      <w:pgMar w:top="851"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DB30" w14:textId="77777777" w:rsidR="009E743D" w:rsidRDefault="009E743D">
      <w:pPr>
        <w:spacing w:after="0" w:line="240" w:lineRule="auto"/>
      </w:pPr>
      <w:r>
        <w:separator/>
      </w:r>
    </w:p>
  </w:endnote>
  <w:endnote w:type="continuationSeparator" w:id="0">
    <w:p w14:paraId="3EA4B139" w14:textId="77777777" w:rsidR="009E743D" w:rsidRDefault="009E743D">
      <w:pPr>
        <w:spacing w:after="0" w:line="240" w:lineRule="auto"/>
      </w:pPr>
      <w:r>
        <w:continuationSeparator/>
      </w:r>
    </w:p>
  </w:endnote>
  <w:endnote w:type="continuationNotice" w:id="1">
    <w:p w14:paraId="7408B609" w14:textId="77777777" w:rsidR="009E743D" w:rsidRDefault="009E7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FB27" w14:textId="3214D853" w:rsidR="00D57F42" w:rsidRPr="00733F86" w:rsidRDefault="00D57F42" w:rsidP="00733F86">
    <w:pPr>
      <w:pStyle w:val="Footer"/>
      <w:jc w:val="right"/>
      <w:rPr>
        <w:sz w:val="21"/>
        <w:szCs w:val="21"/>
      </w:rPr>
    </w:pPr>
    <w:r w:rsidRPr="00B16DB1">
      <w:rPr>
        <w:sz w:val="21"/>
        <w:szCs w:val="21"/>
      </w:rPr>
      <w:fldChar w:fldCharType="begin"/>
    </w:r>
    <w:r w:rsidRPr="00B16DB1">
      <w:rPr>
        <w:sz w:val="21"/>
        <w:szCs w:val="21"/>
      </w:rPr>
      <w:instrText xml:space="preserve"> PAGE   \* MERGEFORMAT </w:instrText>
    </w:r>
    <w:r w:rsidRPr="00B16DB1">
      <w:rPr>
        <w:sz w:val="21"/>
        <w:szCs w:val="21"/>
      </w:rPr>
      <w:fldChar w:fldCharType="separate"/>
    </w:r>
    <w:r>
      <w:rPr>
        <w:noProof/>
        <w:sz w:val="21"/>
        <w:szCs w:val="21"/>
      </w:rPr>
      <w:t>2</w:t>
    </w:r>
    <w:r w:rsidRPr="00B16DB1">
      <w:rPr>
        <w:noProof/>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8103" w14:textId="77777777" w:rsidR="009E743D" w:rsidRDefault="009E743D">
      <w:pPr>
        <w:spacing w:after="0" w:line="240" w:lineRule="auto"/>
      </w:pPr>
      <w:r>
        <w:separator/>
      </w:r>
    </w:p>
  </w:footnote>
  <w:footnote w:type="continuationSeparator" w:id="0">
    <w:p w14:paraId="38DCDC5D" w14:textId="77777777" w:rsidR="009E743D" w:rsidRDefault="009E743D">
      <w:pPr>
        <w:spacing w:after="0" w:line="240" w:lineRule="auto"/>
      </w:pPr>
      <w:r>
        <w:continuationSeparator/>
      </w:r>
    </w:p>
  </w:footnote>
  <w:footnote w:type="continuationNotice" w:id="1">
    <w:p w14:paraId="469E8062" w14:textId="77777777" w:rsidR="009E743D" w:rsidRDefault="009E74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70CF3"/>
    <w:multiLevelType w:val="multilevel"/>
    <w:tmpl w:val="D97AA1B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C4F577C"/>
    <w:multiLevelType w:val="hybridMultilevel"/>
    <w:tmpl w:val="8D44F58C"/>
    <w:lvl w:ilvl="0" w:tplc="81505F1E">
      <w:start w:val="1"/>
      <w:numFmt w:val="bullet"/>
      <w:lvlText w:val=""/>
      <w:lvlJc w:val="left"/>
      <w:pPr>
        <w:ind w:left="360" w:hanging="360"/>
      </w:pPr>
      <w:rPr>
        <w:rFonts w:ascii="Symbol" w:hAnsi="Symbol" w:hint="default"/>
        <w:strike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3265AFA"/>
    <w:multiLevelType w:val="hybridMultilevel"/>
    <w:tmpl w:val="F63E6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C30B22"/>
    <w:multiLevelType w:val="hybridMultilevel"/>
    <w:tmpl w:val="84CC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12276E"/>
    <w:multiLevelType w:val="hybridMultilevel"/>
    <w:tmpl w:val="0336A408"/>
    <w:lvl w:ilvl="0" w:tplc="502629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9C288A"/>
    <w:multiLevelType w:val="hybridMultilevel"/>
    <w:tmpl w:val="C2CC841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 w15:restartNumberingAfterBreak="0">
    <w:nsid w:val="655B2CAE"/>
    <w:multiLevelType w:val="hybridMultilevel"/>
    <w:tmpl w:val="B7305600"/>
    <w:lvl w:ilvl="0" w:tplc="B5F2AF12">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sz w:val="20"/>
      </w:rPr>
    </w:lvl>
    <w:lvl w:ilvl="2" w:tplc="8C7ACAE2" w:tentative="1">
      <w:start w:val="1"/>
      <w:numFmt w:val="decimal"/>
      <w:lvlText w:val="%3."/>
      <w:lvlJc w:val="left"/>
      <w:pPr>
        <w:tabs>
          <w:tab w:val="num" w:pos="2160"/>
        </w:tabs>
        <w:ind w:left="2160" w:hanging="360"/>
      </w:pPr>
    </w:lvl>
    <w:lvl w:ilvl="3" w:tplc="FCC0D538" w:tentative="1">
      <w:start w:val="1"/>
      <w:numFmt w:val="decimal"/>
      <w:lvlText w:val="%4."/>
      <w:lvlJc w:val="left"/>
      <w:pPr>
        <w:tabs>
          <w:tab w:val="num" w:pos="2880"/>
        </w:tabs>
        <w:ind w:left="2880" w:hanging="360"/>
      </w:pPr>
    </w:lvl>
    <w:lvl w:ilvl="4" w:tplc="4A8A2086" w:tentative="1">
      <w:start w:val="1"/>
      <w:numFmt w:val="decimal"/>
      <w:lvlText w:val="%5."/>
      <w:lvlJc w:val="left"/>
      <w:pPr>
        <w:tabs>
          <w:tab w:val="num" w:pos="3600"/>
        </w:tabs>
        <w:ind w:left="3600" w:hanging="360"/>
      </w:pPr>
    </w:lvl>
    <w:lvl w:ilvl="5" w:tplc="19345866" w:tentative="1">
      <w:start w:val="1"/>
      <w:numFmt w:val="decimal"/>
      <w:lvlText w:val="%6."/>
      <w:lvlJc w:val="left"/>
      <w:pPr>
        <w:tabs>
          <w:tab w:val="num" w:pos="4320"/>
        </w:tabs>
        <w:ind w:left="4320" w:hanging="360"/>
      </w:pPr>
    </w:lvl>
    <w:lvl w:ilvl="6" w:tplc="C43CCB24" w:tentative="1">
      <w:start w:val="1"/>
      <w:numFmt w:val="decimal"/>
      <w:lvlText w:val="%7."/>
      <w:lvlJc w:val="left"/>
      <w:pPr>
        <w:tabs>
          <w:tab w:val="num" w:pos="5040"/>
        </w:tabs>
        <w:ind w:left="5040" w:hanging="360"/>
      </w:pPr>
    </w:lvl>
    <w:lvl w:ilvl="7" w:tplc="B70A96CA" w:tentative="1">
      <w:start w:val="1"/>
      <w:numFmt w:val="decimal"/>
      <w:lvlText w:val="%8."/>
      <w:lvlJc w:val="left"/>
      <w:pPr>
        <w:tabs>
          <w:tab w:val="num" w:pos="5760"/>
        </w:tabs>
        <w:ind w:left="5760" w:hanging="360"/>
      </w:pPr>
    </w:lvl>
    <w:lvl w:ilvl="8" w:tplc="63DE91CE" w:tentative="1">
      <w:start w:val="1"/>
      <w:numFmt w:val="decimal"/>
      <w:lvlText w:val="%9."/>
      <w:lvlJc w:val="left"/>
      <w:pPr>
        <w:tabs>
          <w:tab w:val="num" w:pos="6480"/>
        </w:tabs>
        <w:ind w:left="6480" w:hanging="360"/>
      </w:pPr>
    </w:lvl>
  </w:abstractNum>
  <w:abstractNum w:abstractNumId="7" w15:restartNumberingAfterBreak="0">
    <w:nsid w:val="662F6B9E"/>
    <w:multiLevelType w:val="hybridMultilevel"/>
    <w:tmpl w:val="575A8F98"/>
    <w:lvl w:ilvl="0" w:tplc="A89878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CD41E3"/>
    <w:multiLevelType w:val="hybridMultilevel"/>
    <w:tmpl w:val="BB8A349E"/>
    <w:lvl w:ilvl="0" w:tplc="12C2F05C">
      <w:start w:val="1"/>
      <w:numFmt w:val="bullet"/>
      <w:lvlText w:val=""/>
      <w:lvlJc w:val="left"/>
      <w:pPr>
        <w:ind w:left="360" w:hanging="360"/>
      </w:pPr>
      <w:rPr>
        <w:rFonts w:ascii="Symbol" w:hAnsi="Symbol" w:hint="default"/>
        <w:color w:val="000000" w:themeColor="text1"/>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79199017">
    <w:abstractNumId w:val="1"/>
  </w:num>
  <w:num w:numId="2" w16cid:durableId="1295674410">
    <w:abstractNumId w:val="2"/>
  </w:num>
  <w:num w:numId="3" w16cid:durableId="1993098741">
    <w:abstractNumId w:val="4"/>
  </w:num>
  <w:num w:numId="4" w16cid:durableId="1426730338">
    <w:abstractNumId w:val="3"/>
  </w:num>
  <w:num w:numId="5" w16cid:durableId="859978230">
    <w:abstractNumId w:val="7"/>
  </w:num>
  <w:num w:numId="6" w16cid:durableId="1807694761">
    <w:abstractNumId w:val="6"/>
  </w:num>
  <w:num w:numId="7" w16cid:durableId="64961829">
    <w:abstractNumId w:val="8"/>
  </w:num>
  <w:num w:numId="8" w16cid:durableId="821971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786405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42"/>
    <w:rsid w:val="00000715"/>
    <w:rsid w:val="000018A7"/>
    <w:rsid w:val="00007C81"/>
    <w:rsid w:val="000119E4"/>
    <w:rsid w:val="00013659"/>
    <w:rsid w:val="00022EBD"/>
    <w:rsid w:val="0002532D"/>
    <w:rsid w:val="000261FC"/>
    <w:rsid w:val="0002704E"/>
    <w:rsid w:val="00037B2A"/>
    <w:rsid w:val="000402F3"/>
    <w:rsid w:val="000404B4"/>
    <w:rsid w:val="00042C20"/>
    <w:rsid w:val="00043F32"/>
    <w:rsid w:val="00053FD2"/>
    <w:rsid w:val="00061625"/>
    <w:rsid w:val="000622CF"/>
    <w:rsid w:val="00063A15"/>
    <w:rsid w:val="00072795"/>
    <w:rsid w:val="0007557B"/>
    <w:rsid w:val="0007715D"/>
    <w:rsid w:val="000822C1"/>
    <w:rsid w:val="00083B61"/>
    <w:rsid w:val="00091947"/>
    <w:rsid w:val="0009195F"/>
    <w:rsid w:val="00091A99"/>
    <w:rsid w:val="00095BE1"/>
    <w:rsid w:val="00096694"/>
    <w:rsid w:val="00097876"/>
    <w:rsid w:val="000A4D03"/>
    <w:rsid w:val="000A57A1"/>
    <w:rsid w:val="000C0789"/>
    <w:rsid w:val="000C3CAA"/>
    <w:rsid w:val="000C69CF"/>
    <w:rsid w:val="000D19AA"/>
    <w:rsid w:val="000D20A7"/>
    <w:rsid w:val="000D4D33"/>
    <w:rsid w:val="000D516E"/>
    <w:rsid w:val="000D57E1"/>
    <w:rsid w:val="000D7661"/>
    <w:rsid w:val="000E0EE1"/>
    <w:rsid w:val="000E686E"/>
    <w:rsid w:val="000E7109"/>
    <w:rsid w:val="000F015F"/>
    <w:rsid w:val="000F16A1"/>
    <w:rsid w:val="000F18B4"/>
    <w:rsid w:val="000F1B1D"/>
    <w:rsid w:val="000F1DE6"/>
    <w:rsid w:val="000F3C58"/>
    <w:rsid w:val="000F4B38"/>
    <w:rsid w:val="000F7DAD"/>
    <w:rsid w:val="0010198B"/>
    <w:rsid w:val="001024D1"/>
    <w:rsid w:val="00111000"/>
    <w:rsid w:val="001167C1"/>
    <w:rsid w:val="00117FA9"/>
    <w:rsid w:val="00122628"/>
    <w:rsid w:val="00125815"/>
    <w:rsid w:val="00126FF1"/>
    <w:rsid w:val="00133D97"/>
    <w:rsid w:val="00136DE6"/>
    <w:rsid w:val="001403A9"/>
    <w:rsid w:val="00143765"/>
    <w:rsid w:val="001530C3"/>
    <w:rsid w:val="001546ED"/>
    <w:rsid w:val="001561D2"/>
    <w:rsid w:val="00160203"/>
    <w:rsid w:val="00161A9A"/>
    <w:rsid w:val="00172420"/>
    <w:rsid w:val="00174A89"/>
    <w:rsid w:val="00175792"/>
    <w:rsid w:val="0018052C"/>
    <w:rsid w:val="001839C6"/>
    <w:rsid w:val="001960AD"/>
    <w:rsid w:val="001A040A"/>
    <w:rsid w:val="001A441D"/>
    <w:rsid w:val="001A72DC"/>
    <w:rsid w:val="001A777B"/>
    <w:rsid w:val="001B5CB6"/>
    <w:rsid w:val="001C062A"/>
    <w:rsid w:val="001C191B"/>
    <w:rsid w:val="001C1ED3"/>
    <w:rsid w:val="001C39F2"/>
    <w:rsid w:val="001C6731"/>
    <w:rsid w:val="001D276D"/>
    <w:rsid w:val="001D49D8"/>
    <w:rsid w:val="001D5B30"/>
    <w:rsid w:val="001E2211"/>
    <w:rsid w:val="001E505F"/>
    <w:rsid w:val="001E755B"/>
    <w:rsid w:val="001F1A17"/>
    <w:rsid w:val="001F3B23"/>
    <w:rsid w:val="00204EAB"/>
    <w:rsid w:val="00215289"/>
    <w:rsid w:val="002219CD"/>
    <w:rsid w:val="00221D0B"/>
    <w:rsid w:val="00226BDC"/>
    <w:rsid w:val="00227418"/>
    <w:rsid w:val="002317C6"/>
    <w:rsid w:val="00232496"/>
    <w:rsid w:val="002367EF"/>
    <w:rsid w:val="00240D0E"/>
    <w:rsid w:val="00245FF6"/>
    <w:rsid w:val="00251216"/>
    <w:rsid w:val="00251FF4"/>
    <w:rsid w:val="00253AE7"/>
    <w:rsid w:val="00255AA1"/>
    <w:rsid w:val="002560F0"/>
    <w:rsid w:val="00271A51"/>
    <w:rsid w:val="0027279E"/>
    <w:rsid w:val="002741A9"/>
    <w:rsid w:val="0028216F"/>
    <w:rsid w:val="00282841"/>
    <w:rsid w:val="00285F7D"/>
    <w:rsid w:val="00290693"/>
    <w:rsid w:val="00294868"/>
    <w:rsid w:val="002A2BC9"/>
    <w:rsid w:val="002A5625"/>
    <w:rsid w:val="002A57E7"/>
    <w:rsid w:val="002A5A49"/>
    <w:rsid w:val="002A79A3"/>
    <w:rsid w:val="002C1AFE"/>
    <w:rsid w:val="002C38BF"/>
    <w:rsid w:val="002D194B"/>
    <w:rsid w:val="002D26A2"/>
    <w:rsid w:val="002D4F74"/>
    <w:rsid w:val="002D52B2"/>
    <w:rsid w:val="002D6EEE"/>
    <w:rsid w:val="002E1198"/>
    <w:rsid w:val="002E1EB2"/>
    <w:rsid w:val="002E3E62"/>
    <w:rsid w:val="002F2FBB"/>
    <w:rsid w:val="002F3D38"/>
    <w:rsid w:val="002F6718"/>
    <w:rsid w:val="003063EC"/>
    <w:rsid w:val="00306DA8"/>
    <w:rsid w:val="003117E4"/>
    <w:rsid w:val="0032275F"/>
    <w:rsid w:val="0032370C"/>
    <w:rsid w:val="0032453A"/>
    <w:rsid w:val="003267FE"/>
    <w:rsid w:val="00336F6E"/>
    <w:rsid w:val="003415EE"/>
    <w:rsid w:val="00342043"/>
    <w:rsid w:val="00343003"/>
    <w:rsid w:val="003432EB"/>
    <w:rsid w:val="00350012"/>
    <w:rsid w:val="003529B1"/>
    <w:rsid w:val="00356C2B"/>
    <w:rsid w:val="00356EBE"/>
    <w:rsid w:val="00363F60"/>
    <w:rsid w:val="0036675F"/>
    <w:rsid w:val="0037041D"/>
    <w:rsid w:val="00375FCA"/>
    <w:rsid w:val="00381F16"/>
    <w:rsid w:val="00382BC6"/>
    <w:rsid w:val="003830A4"/>
    <w:rsid w:val="003A6F0B"/>
    <w:rsid w:val="003B1EDB"/>
    <w:rsid w:val="003B31E1"/>
    <w:rsid w:val="003C5541"/>
    <w:rsid w:val="003D110E"/>
    <w:rsid w:val="003D17A3"/>
    <w:rsid w:val="003D527D"/>
    <w:rsid w:val="003D6A10"/>
    <w:rsid w:val="003F2025"/>
    <w:rsid w:val="0040022A"/>
    <w:rsid w:val="0040150D"/>
    <w:rsid w:val="00407A05"/>
    <w:rsid w:val="00413587"/>
    <w:rsid w:val="00416C0C"/>
    <w:rsid w:val="00423375"/>
    <w:rsid w:val="00426B9E"/>
    <w:rsid w:val="004332BF"/>
    <w:rsid w:val="00434D58"/>
    <w:rsid w:val="004367FE"/>
    <w:rsid w:val="00442365"/>
    <w:rsid w:val="00450B19"/>
    <w:rsid w:val="0045168C"/>
    <w:rsid w:val="00453704"/>
    <w:rsid w:val="004539E9"/>
    <w:rsid w:val="00455725"/>
    <w:rsid w:val="00456086"/>
    <w:rsid w:val="00472383"/>
    <w:rsid w:val="00483060"/>
    <w:rsid w:val="004842C2"/>
    <w:rsid w:val="004922A5"/>
    <w:rsid w:val="00493BAC"/>
    <w:rsid w:val="004953CE"/>
    <w:rsid w:val="0049696E"/>
    <w:rsid w:val="004A1244"/>
    <w:rsid w:val="004A4E54"/>
    <w:rsid w:val="004B2EE9"/>
    <w:rsid w:val="004B5D6D"/>
    <w:rsid w:val="004D28F7"/>
    <w:rsid w:val="004D5E61"/>
    <w:rsid w:val="004E7FB6"/>
    <w:rsid w:val="004F447C"/>
    <w:rsid w:val="00500131"/>
    <w:rsid w:val="00502B9F"/>
    <w:rsid w:val="00512BD0"/>
    <w:rsid w:val="005172B2"/>
    <w:rsid w:val="00522F37"/>
    <w:rsid w:val="005302D9"/>
    <w:rsid w:val="005370AE"/>
    <w:rsid w:val="00543170"/>
    <w:rsid w:val="00544703"/>
    <w:rsid w:val="00546012"/>
    <w:rsid w:val="0054704F"/>
    <w:rsid w:val="00550447"/>
    <w:rsid w:val="005511D4"/>
    <w:rsid w:val="0055301C"/>
    <w:rsid w:val="005542FD"/>
    <w:rsid w:val="005603D8"/>
    <w:rsid w:val="0056341C"/>
    <w:rsid w:val="00574E33"/>
    <w:rsid w:val="00577B93"/>
    <w:rsid w:val="00577E7D"/>
    <w:rsid w:val="005813E8"/>
    <w:rsid w:val="005820F8"/>
    <w:rsid w:val="00584C74"/>
    <w:rsid w:val="0058714E"/>
    <w:rsid w:val="0058758B"/>
    <w:rsid w:val="0059050B"/>
    <w:rsid w:val="005A2F9A"/>
    <w:rsid w:val="005A6D47"/>
    <w:rsid w:val="005A7651"/>
    <w:rsid w:val="005C4E4F"/>
    <w:rsid w:val="005D3232"/>
    <w:rsid w:val="005D4070"/>
    <w:rsid w:val="005D6C8B"/>
    <w:rsid w:val="005F060E"/>
    <w:rsid w:val="00602BAC"/>
    <w:rsid w:val="00603C9F"/>
    <w:rsid w:val="00604B28"/>
    <w:rsid w:val="00605BE8"/>
    <w:rsid w:val="006065FA"/>
    <w:rsid w:val="006155E4"/>
    <w:rsid w:val="00617394"/>
    <w:rsid w:val="006333D0"/>
    <w:rsid w:val="00637AB4"/>
    <w:rsid w:val="00641CBE"/>
    <w:rsid w:val="00642B75"/>
    <w:rsid w:val="006464CF"/>
    <w:rsid w:val="006500A7"/>
    <w:rsid w:val="0065207B"/>
    <w:rsid w:val="00652BFE"/>
    <w:rsid w:val="00655422"/>
    <w:rsid w:val="00670B31"/>
    <w:rsid w:val="00676C5A"/>
    <w:rsid w:val="0068558E"/>
    <w:rsid w:val="00687157"/>
    <w:rsid w:val="00691980"/>
    <w:rsid w:val="0069255D"/>
    <w:rsid w:val="006928FE"/>
    <w:rsid w:val="006A21DC"/>
    <w:rsid w:val="006A480A"/>
    <w:rsid w:val="006A78A2"/>
    <w:rsid w:val="006B5481"/>
    <w:rsid w:val="006B5A88"/>
    <w:rsid w:val="006D4968"/>
    <w:rsid w:val="006D7DD6"/>
    <w:rsid w:val="006E0724"/>
    <w:rsid w:val="006E1C37"/>
    <w:rsid w:val="006E1F7D"/>
    <w:rsid w:val="006E5FA9"/>
    <w:rsid w:val="006F3B7E"/>
    <w:rsid w:val="006F5C59"/>
    <w:rsid w:val="006F6110"/>
    <w:rsid w:val="006F72D0"/>
    <w:rsid w:val="0070713F"/>
    <w:rsid w:val="00716D8A"/>
    <w:rsid w:val="00716ECF"/>
    <w:rsid w:val="00723407"/>
    <w:rsid w:val="00726309"/>
    <w:rsid w:val="007263B3"/>
    <w:rsid w:val="00733F86"/>
    <w:rsid w:val="00734166"/>
    <w:rsid w:val="00734FEE"/>
    <w:rsid w:val="00740287"/>
    <w:rsid w:val="00747442"/>
    <w:rsid w:val="00751105"/>
    <w:rsid w:val="00751699"/>
    <w:rsid w:val="00751AC4"/>
    <w:rsid w:val="00760130"/>
    <w:rsid w:val="00764EDF"/>
    <w:rsid w:val="007656AE"/>
    <w:rsid w:val="00772DEE"/>
    <w:rsid w:val="007743C1"/>
    <w:rsid w:val="0077601D"/>
    <w:rsid w:val="00784271"/>
    <w:rsid w:val="0078511D"/>
    <w:rsid w:val="00785E0F"/>
    <w:rsid w:val="007877FD"/>
    <w:rsid w:val="007934C9"/>
    <w:rsid w:val="007949E1"/>
    <w:rsid w:val="00795A62"/>
    <w:rsid w:val="00796119"/>
    <w:rsid w:val="007A7972"/>
    <w:rsid w:val="007B1B29"/>
    <w:rsid w:val="007C135F"/>
    <w:rsid w:val="007C3013"/>
    <w:rsid w:val="007C5C2B"/>
    <w:rsid w:val="007C5FBE"/>
    <w:rsid w:val="007C6A28"/>
    <w:rsid w:val="007D1D82"/>
    <w:rsid w:val="007D58B7"/>
    <w:rsid w:val="007D60F5"/>
    <w:rsid w:val="007D6613"/>
    <w:rsid w:val="007F0D51"/>
    <w:rsid w:val="007F5FB8"/>
    <w:rsid w:val="00807601"/>
    <w:rsid w:val="00810C70"/>
    <w:rsid w:val="0081352F"/>
    <w:rsid w:val="0081488E"/>
    <w:rsid w:val="00825012"/>
    <w:rsid w:val="00826E0E"/>
    <w:rsid w:val="00827527"/>
    <w:rsid w:val="00827548"/>
    <w:rsid w:val="00834915"/>
    <w:rsid w:val="00841525"/>
    <w:rsid w:val="00846091"/>
    <w:rsid w:val="0086122D"/>
    <w:rsid w:val="00867CB3"/>
    <w:rsid w:val="0087007C"/>
    <w:rsid w:val="0087274B"/>
    <w:rsid w:val="00872A89"/>
    <w:rsid w:val="00877945"/>
    <w:rsid w:val="00880160"/>
    <w:rsid w:val="00882A9F"/>
    <w:rsid w:val="0088323B"/>
    <w:rsid w:val="00883C2A"/>
    <w:rsid w:val="00885056"/>
    <w:rsid w:val="00886D81"/>
    <w:rsid w:val="008870CD"/>
    <w:rsid w:val="00887107"/>
    <w:rsid w:val="00893D9E"/>
    <w:rsid w:val="008A26CA"/>
    <w:rsid w:val="008A5360"/>
    <w:rsid w:val="008A584B"/>
    <w:rsid w:val="008A7925"/>
    <w:rsid w:val="008B5065"/>
    <w:rsid w:val="008E3469"/>
    <w:rsid w:val="008F333B"/>
    <w:rsid w:val="008F34E0"/>
    <w:rsid w:val="008F56A0"/>
    <w:rsid w:val="008F705B"/>
    <w:rsid w:val="0090199D"/>
    <w:rsid w:val="00902503"/>
    <w:rsid w:val="00903DFF"/>
    <w:rsid w:val="00907EEF"/>
    <w:rsid w:val="009104C4"/>
    <w:rsid w:val="0091726F"/>
    <w:rsid w:val="00923E6D"/>
    <w:rsid w:val="0092484E"/>
    <w:rsid w:val="00926537"/>
    <w:rsid w:val="00927FFE"/>
    <w:rsid w:val="009333B9"/>
    <w:rsid w:val="00935800"/>
    <w:rsid w:val="00946BF4"/>
    <w:rsid w:val="00953C86"/>
    <w:rsid w:val="00955820"/>
    <w:rsid w:val="009565AA"/>
    <w:rsid w:val="00977C34"/>
    <w:rsid w:val="00982148"/>
    <w:rsid w:val="00983F48"/>
    <w:rsid w:val="00986D71"/>
    <w:rsid w:val="00995395"/>
    <w:rsid w:val="0099604C"/>
    <w:rsid w:val="00997613"/>
    <w:rsid w:val="009A1952"/>
    <w:rsid w:val="009A63EE"/>
    <w:rsid w:val="009B1692"/>
    <w:rsid w:val="009C15DF"/>
    <w:rsid w:val="009C65A9"/>
    <w:rsid w:val="009C7702"/>
    <w:rsid w:val="009C7D6C"/>
    <w:rsid w:val="009E3C8A"/>
    <w:rsid w:val="009E6AC9"/>
    <w:rsid w:val="009E743D"/>
    <w:rsid w:val="009F48E1"/>
    <w:rsid w:val="009F7DE2"/>
    <w:rsid w:val="00A10D8E"/>
    <w:rsid w:val="00A110FD"/>
    <w:rsid w:val="00A1436B"/>
    <w:rsid w:val="00A173E8"/>
    <w:rsid w:val="00A2221E"/>
    <w:rsid w:val="00A2263B"/>
    <w:rsid w:val="00A35217"/>
    <w:rsid w:val="00A45F0B"/>
    <w:rsid w:val="00A46879"/>
    <w:rsid w:val="00A47DFE"/>
    <w:rsid w:val="00A53D0B"/>
    <w:rsid w:val="00A550D7"/>
    <w:rsid w:val="00A6315C"/>
    <w:rsid w:val="00A71016"/>
    <w:rsid w:val="00A74CFF"/>
    <w:rsid w:val="00A772A8"/>
    <w:rsid w:val="00A774D5"/>
    <w:rsid w:val="00A77E3E"/>
    <w:rsid w:val="00A80458"/>
    <w:rsid w:val="00A92BBB"/>
    <w:rsid w:val="00A95EEA"/>
    <w:rsid w:val="00AA0E4E"/>
    <w:rsid w:val="00AA3FEE"/>
    <w:rsid w:val="00AA6996"/>
    <w:rsid w:val="00AB0A02"/>
    <w:rsid w:val="00AB30C3"/>
    <w:rsid w:val="00AB6EE2"/>
    <w:rsid w:val="00AC139A"/>
    <w:rsid w:val="00AC4F4B"/>
    <w:rsid w:val="00AC745C"/>
    <w:rsid w:val="00AD07F5"/>
    <w:rsid w:val="00AD10A7"/>
    <w:rsid w:val="00AD1312"/>
    <w:rsid w:val="00AD5BE4"/>
    <w:rsid w:val="00AD6ECB"/>
    <w:rsid w:val="00AE0BEC"/>
    <w:rsid w:val="00AE58BC"/>
    <w:rsid w:val="00AF029D"/>
    <w:rsid w:val="00AF459A"/>
    <w:rsid w:val="00AF6D7B"/>
    <w:rsid w:val="00AF7339"/>
    <w:rsid w:val="00B02396"/>
    <w:rsid w:val="00B027E9"/>
    <w:rsid w:val="00B032D1"/>
    <w:rsid w:val="00B1036F"/>
    <w:rsid w:val="00B15A52"/>
    <w:rsid w:val="00B20F75"/>
    <w:rsid w:val="00B24176"/>
    <w:rsid w:val="00B307AD"/>
    <w:rsid w:val="00B31951"/>
    <w:rsid w:val="00B32471"/>
    <w:rsid w:val="00B341A4"/>
    <w:rsid w:val="00B6261B"/>
    <w:rsid w:val="00B64F49"/>
    <w:rsid w:val="00B70B89"/>
    <w:rsid w:val="00B80E92"/>
    <w:rsid w:val="00B82256"/>
    <w:rsid w:val="00B91B1E"/>
    <w:rsid w:val="00B91FC9"/>
    <w:rsid w:val="00BA3DFD"/>
    <w:rsid w:val="00BA7A59"/>
    <w:rsid w:val="00BB3574"/>
    <w:rsid w:val="00BB4733"/>
    <w:rsid w:val="00BB632C"/>
    <w:rsid w:val="00BB63FA"/>
    <w:rsid w:val="00BC25E7"/>
    <w:rsid w:val="00BE0023"/>
    <w:rsid w:val="00BE08E5"/>
    <w:rsid w:val="00BE1A46"/>
    <w:rsid w:val="00BE403A"/>
    <w:rsid w:val="00BE4AB3"/>
    <w:rsid w:val="00BE6D08"/>
    <w:rsid w:val="00BE7288"/>
    <w:rsid w:val="00BE745C"/>
    <w:rsid w:val="00BF47BF"/>
    <w:rsid w:val="00C02A64"/>
    <w:rsid w:val="00C035C3"/>
    <w:rsid w:val="00C04C1A"/>
    <w:rsid w:val="00C14CE4"/>
    <w:rsid w:val="00C20D11"/>
    <w:rsid w:val="00C32F01"/>
    <w:rsid w:val="00C40BEF"/>
    <w:rsid w:val="00C50A83"/>
    <w:rsid w:val="00C52439"/>
    <w:rsid w:val="00C53F2B"/>
    <w:rsid w:val="00C55406"/>
    <w:rsid w:val="00C565B1"/>
    <w:rsid w:val="00C56D80"/>
    <w:rsid w:val="00C601D9"/>
    <w:rsid w:val="00C6550F"/>
    <w:rsid w:val="00C65CB2"/>
    <w:rsid w:val="00C70BBC"/>
    <w:rsid w:val="00C71C02"/>
    <w:rsid w:val="00C85D87"/>
    <w:rsid w:val="00C877B4"/>
    <w:rsid w:val="00C947A1"/>
    <w:rsid w:val="00C95FFB"/>
    <w:rsid w:val="00CA3F34"/>
    <w:rsid w:val="00CA7F87"/>
    <w:rsid w:val="00CB3885"/>
    <w:rsid w:val="00CB5371"/>
    <w:rsid w:val="00CB5BE7"/>
    <w:rsid w:val="00CB73C1"/>
    <w:rsid w:val="00CC6BDB"/>
    <w:rsid w:val="00CC703F"/>
    <w:rsid w:val="00CD1C54"/>
    <w:rsid w:val="00CD2861"/>
    <w:rsid w:val="00CD7E9F"/>
    <w:rsid w:val="00CE2C4B"/>
    <w:rsid w:val="00CE2E5C"/>
    <w:rsid w:val="00CF01D0"/>
    <w:rsid w:val="00CF5D65"/>
    <w:rsid w:val="00D056AB"/>
    <w:rsid w:val="00D05DD8"/>
    <w:rsid w:val="00D1487E"/>
    <w:rsid w:val="00D225CC"/>
    <w:rsid w:val="00D2513E"/>
    <w:rsid w:val="00D27B7B"/>
    <w:rsid w:val="00D322C5"/>
    <w:rsid w:val="00D331F4"/>
    <w:rsid w:val="00D3555F"/>
    <w:rsid w:val="00D36B1D"/>
    <w:rsid w:val="00D36FBD"/>
    <w:rsid w:val="00D412C5"/>
    <w:rsid w:val="00D42A2D"/>
    <w:rsid w:val="00D56DB3"/>
    <w:rsid w:val="00D57F42"/>
    <w:rsid w:val="00D605B3"/>
    <w:rsid w:val="00D70CD1"/>
    <w:rsid w:val="00D767D9"/>
    <w:rsid w:val="00D77D84"/>
    <w:rsid w:val="00D80E45"/>
    <w:rsid w:val="00D90848"/>
    <w:rsid w:val="00D9425C"/>
    <w:rsid w:val="00DA053F"/>
    <w:rsid w:val="00DA11B8"/>
    <w:rsid w:val="00DA2F8C"/>
    <w:rsid w:val="00DB52BD"/>
    <w:rsid w:val="00DB7315"/>
    <w:rsid w:val="00DB7839"/>
    <w:rsid w:val="00DC6E87"/>
    <w:rsid w:val="00DC7341"/>
    <w:rsid w:val="00DC750D"/>
    <w:rsid w:val="00DD7F0B"/>
    <w:rsid w:val="00DE31D1"/>
    <w:rsid w:val="00DF23A6"/>
    <w:rsid w:val="00DF570B"/>
    <w:rsid w:val="00E07CD3"/>
    <w:rsid w:val="00E12150"/>
    <w:rsid w:val="00E1232F"/>
    <w:rsid w:val="00E1250D"/>
    <w:rsid w:val="00E127FD"/>
    <w:rsid w:val="00E12809"/>
    <w:rsid w:val="00E14699"/>
    <w:rsid w:val="00E15EF1"/>
    <w:rsid w:val="00E23BFB"/>
    <w:rsid w:val="00E26327"/>
    <w:rsid w:val="00E3301F"/>
    <w:rsid w:val="00E3358B"/>
    <w:rsid w:val="00E33675"/>
    <w:rsid w:val="00E33D25"/>
    <w:rsid w:val="00E35930"/>
    <w:rsid w:val="00E371F1"/>
    <w:rsid w:val="00E4063E"/>
    <w:rsid w:val="00E42784"/>
    <w:rsid w:val="00E4616E"/>
    <w:rsid w:val="00E47321"/>
    <w:rsid w:val="00E51DA0"/>
    <w:rsid w:val="00E54027"/>
    <w:rsid w:val="00E55CBA"/>
    <w:rsid w:val="00E55CCB"/>
    <w:rsid w:val="00E565FC"/>
    <w:rsid w:val="00E5721B"/>
    <w:rsid w:val="00E6045F"/>
    <w:rsid w:val="00E60740"/>
    <w:rsid w:val="00E6077A"/>
    <w:rsid w:val="00E63B6E"/>
    <w:rsid w:val="00E657F2"/>
    <w:rsid w:val="00E70292"/>
    <w:rsid w:val="00E77A5F"/>
    <w:rsid w:val="00E82761"/>
    <w:rsid w:val="00E836F4"/>
    <w:rsid w:val="00E83D68"/>
    <w:rsid w:val="00E84C84"/>
    <w:rsid w:val="00E85D0B"/>
    <w:rsid w:val="00E87AC3"/>
    <w:rsid w:val="00EB3278"/>
    <w:rsid w:val="00EB337B"/>
    <w:rsid w:val="00EB3F8F"/>
    <w:rsid w:val="00EB6A00"/>
    <w:rsid w:val="00EB7028"/>
    <w:rsid w:val="00EC25F5"/>
    <w:rsid w:val="00EE68AD"/>
    <w:rsid w:val="00EF01F9"/>
    <w:rsid w:val="00EF7A1C"/>
    <w:rsid w:val="00F00B80"/>
    <w:rsid w:val="00F01DC1"/>
    <w:rsid w:val="00F04AB8"/>
    <w:rsid w:val="00F04C97"/>
    <w:rsid w:val="00F052AF"/>
    <w:rsid w:val="00F103FF"/>
    <w:rsid w:val="00F10B5D"/>
    <w:rsid w:val="00F117B7"/>
    <w:rsid w:val="00F15097"/>
    <w:rsid w:val="00F207B1"/>
    <w:rsid w:val="00F23C7F"/>
    <w:rsid w:val="00F2707E"/>
    <w:rsid w:val="00F27498"/>
    <w:rsid w:val="00F277DC"/>
    <w:rsid w:val="00F314F9"/>
    <w:rsid w:val="00F44632"/>
    <w:rsid w:val="00F467AF"/>
    <w:rsid w:val="00F50C50"/>
    <w:rsid w:val="00F535D3"/>
    <w:rsid w:val="00F60C97"/>
    <w:rsid w:val="00F72BEB"/>
    <w:rsid w:val="00F81914"/>
    <w:rsid w:val="00F81E2C"/>
    <w:rsid w:val="00F87836"/>
    <w:rsid w:val="00F91543"/>
    <w:rsid w:val="00F920E9"/>
    <w:rsid w:val="00F9440A"/>
    <w:rsid w:val="00F9569B"/>
    <w:rsid w:val="00F9626A"/>
    <w:rsid w:val="00F97D04"/>
    <w:rsid w:val="00FA4209"/>
    <w:rsid w:val="00FB5B1F"/>
    <w:rsid w:val="00FC1C51"/>
    <w:rsid w:val="00FC4368"/>
    <w:rsid w:val="00FD6656"/>
    <w:rsid w:val="00FD6C74"/>
    <w:rsid w:val="00FE38D2"/>
    <w:rsid w:val="00FE3E84"/>
    <w:rsid w:val="00FE7995"/>
    <w:rsid w:val="00FF0707"/>
    <w:rsid w:val="00FF28B5"/>
    <w:rsid w:val="00FF6069"/>
    <w:rsid w:val="00FF6C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2C2C5"/>
  <w15:chartTrackingRefBased/>
  <w15:docId w15:val="{42A420EF-7FDD-49E5-81B4-F4056625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F42"/>
    <w:pPr>
      <w:spacing w:after="200" w:line="276" w:lineRule="auto"/>
    </w:pPr>
    <w:rPr>
      <w:rFonts w:ascii="Calibri" w:eastAsia="Calibri" w:hAnsi="Calibri" w:cs="Times New Roman"/>
      <w:kern w:val="0"/>
    </w:rPr>
  </w:style>
  <w:style w:type="paragraph" w:styleId="Heading2">
    <w:name w:val="heading 2"/>
    <w:basedOn w:val="Normal"/>
    <w:next w:val="Normal"/>
    <w:link w:val="Heading2Char"/>
    <w:uiPriority w:val="9"/>
    <w:semiHidden/>
    <w:unhideWhenUsed/>
    <w:qFormat/>
    <w:rsid w:val="009333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7F42"/>
    <w:rPr>
      <w:color w:val="0000FF"/>
      <w:u w:val="single"/>
    </w:rPr>
  </w:style>
  <w:style w:type="paragraph" w:styleId="Footer">
    <w:name w:val="footer"/>
    <w:basedOn w:val="Normal"/>
    <w:link w:val="FooterChar"/>
    <w:uiPriority w:val="99"/>
    <w:unhideWhenUsed/>
    <w:rsid w:val="00D57F42"/>
    <w:pPr>
      <w:tabs>
        <w:tab w:val="center" w:pos="4513"/>
        <w:tab w:val="right" w:pos="9026"/>
      </w:tabs>
    </w:pPr>
  </w:style>
  <w:style w:type="character" w:customStyle="1" w:styleId="FooterChar">
    <w:name w:val="Footer Char"/>
    <w:basedOn w:val="DefaultParagraphFont"/>
    <w:link w:val="Footer"/>
    <w:uiPriority w:val="99"/>
    <w:rsid w:val="00D57F42"/>
    <w:rPr>
      <w:rFonts w:ascii="Calibri" w:eastAsia="Calibri" w:hAnsi="Calibri" w:cs="Times New Roman"/>
      <w:kern w:val="0"/>
    </w:rPr>
  </w:style>
  <w:style w:type="paragraph" w:customStyle="1" w:styleId="Default">
    <w:name w:val="Default"/>
    <w:rsid w:val="00D57F42"/>
    <w:pPr>
      <w:autoSpaceDE w:val="0"/>
      <w:autoSpaceDN w:val="0"/>
      <w:adjustRightInd w:val="0"/>
      <w:spacing w:after="0" w:line="240" w:lineRule="auto"/>
    </w:pPr>
    <w:rPr>
      <w:rFonts w:ascii="Times New Roman" w:eastAsia="Calibri" w:hAnsi="Times New Roman" w:cs="Times New Roman"/>
      <w:color w:val="000000"/>
      <w:kern w:val="0"/>
      <w:sz w:val="24"/>
      <w:szCs w:val="24"/>
      <w:lang w:eastAsia="en-GB"/>
    </w:rPr>
  </w:style>
  <w:style w:type="character" w:styleId="Emphasis">
    <w:name w:val="Emphasis"/>
    <w:uiPriority w:val="20"/>
    <w:qFormat/>
    <w:rsid w:val="00D57F42"/>
    <w:rPr>
      <w:i/>
      <w:iCs/>
    </w:rPr>
  </w:style>
  <w:style w:type="paragraph" w:styleId="ListParagraph">
    <w:name w:val="List Paragraph"/>
    <w:basedOn w:val="Normal"/>
    <w:uiPriority w:val="34"/>
    <w:qFormat/>
    <w:rsid w:val="00D57F42"/>
    <w:pPr>
      <w:ind w:left="720"/>
      <w:contextualSpacing/>
    </w:pPr>
  </w:style>
  <w:style w:type="paragraph" w:customStyle="1" w:styleId="xxmsonormal">
    <w:name w:val="x_xmsonormal"/>
    <w:basedOn w:val="Normal"/>
    <w:rsid w:val="00D57F42"/>
    <w:pPr>
      <w:spacing w:after="0" w:line="240" w:lineRule="auto"/>
    </w:pPr>
    <w:rPr>
      <w:rFonts w:eastAsiaTheme="minorHAnsi" w:cs="Calibri"/>
      <w:lang w:eastAsia="en-GB"/>
    </w:rPr>
  </w:style>
  <w:style w:type="paragraph" w:styleId="NoSpacing">
    <w:name w:val="No Spacing"/>
    <w:uiPriority w:val="1"/>
    <w:qFormat/>
    <w:rsid w:val="00D57F42"/>
    <w:pPr>
      <w:spacing w:after="0" w:line="240" w:lineRule="auto"/>
    </w:pPr>
    <w:rPr>
      <w:rFonts w:ascii="Calibri" w:eastAsia="Calibri" w:hAnsi="Calibri" w:cs="Times New Roman"/>
      <w:kern w:val="0"/>
    </w:rPr>
  </w:style>
  <w:style w:type="character" w:customStyle="1" w:styleId="ui-provider">
    <w:name w:val="ui-provider"/>
    <w:basedOn w:val="DefaultParagraphFont"/>
    <w:rsid w:val="00D57F42"/>
  </w:style>
  <w:style w:type="paragraph" w:styleId="Header">
    <w:name w:val="header"/>
    <w:basedOn w:val="Normal"/>
    <w:link w:val="HeaderChar"/>
    <w:uiPriority w:val="99"/>
    <w:unhideWhenUsed/>
    <w:rsid w:val="00615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5E4"/>
    <w:rPr>
      <w:rFonts w:ascii="Calibri" w:eastAsia="Calibri" w:hAnsi="Calibri" w:cs="Times New Roman"/>
      <w:kern w:val="0"/>
    </w:rPr>
  </w:style>
  <w:style w:type="character" w:styleId="FollowedHyperlink">
    <w:name w:val="FollowedHyperlink"/>
    <w:basedOn w:val="DefaultParagraphFont"/>
    <w:uiPriority w:val="99"/>
    <w:semiHidden/>
    <w:unhideWhenUsed/>
    <w:rsid w:val="00D90848"/>
    <w:rPr>
      <w:color w:val="954F72" w:themeColor="followedHyperlink"/>
      <w:u w:val="single"/>
    </w:rPr>
  </w:style>
  <w:style w:type="character" w:styleId="UnresolvedMention">
    <w:name w:val="Unresolved Mention"/>
    <w:basedOn w:val="DefaultParagraphFont"/>
    <w:uiPriority w:val="99"/>
    <w:semiHidden/>
    <w:unhideWhenUsed/>
    <w:rsid w:val="00D90848"/>
    <w:rPr>
      <w:color w:val="605E5C"/>
      <w:shd w:val="clear" w:color="auto" w:fill="E1DFDD"/>
    </w:rPr>
  </w:style>
  <w:style w:type="paragraph" w:styleId="Revision">
    <w:name w:val="Revision"/>
    <w:hidden/>
    <w:uiPriority w:val="99"/>
    <w:semiHidden/>
    <w:rsid w:val="00FC1C51"/>
    <w:pPr>
      <w:spacing w:after="0" w:line="240" w:lineRule="auto"/>
    </w:pPr>
    <w:rPr>
      <w:rFonts w:ascii="Calibri" w:eastAsia="Calibri" w:hAnsi="Calibri" w:cs="Times New Roman"/>
      <w:kern w:val="0"/>
    </w:rPr>
  </w:style>
  <w:style w:type="character" w:styleId="CommentReference">
    <w:name w:val="annotation reference"/>
    <w:basedOn w:val="DefaultParagraphFont"/>
    <w:uiPriority w:val="99"/>
    <w:semiHidden/>
    <w:unhideWhenUsed/>
    <w:rsid w:val="00723407"/>
    <w:rPr>
      <w:sz w:val="16"/>
      <w:szCs w:val="16"/>
    </w:rPr>
  </w:style>
  <w:style w:type="paragraph" w:styleId="CommentText">
    <w:name w:val="annotation text"/>
    <w:basedOn w:val="Normal"/>
    <w:link w:val="CommentTextChar"/>
    <w:uiPriority w:val="99"/>
    <w:unhideWhenUsed/>
    <w:rsid w:val="00723407"/>
    <w:pPr>
      <w:spacing w:line="240" w:lineRule="auto"/>
    </w:pPr>
    <w:rPr>
      <w:sz w:val="20"/>
      <w:szCs w:val="20"/>
    </w:rPr>
  </w:style>
  <w:style w:type="character" w:customStyle="1" w:styleId="CommentTextChar">
    <w:name w:val="Comment Text Char"/>
    <w:basedOn w:val="DefaultParagraphFont"/>
    <w:link w:val="CommentText"/>
    <w:uiPriority w:val="99"/>
    <w:rsid w:val="00723407"/>
    <w:rPr>
      <w:rFonts w:ascii="Calibri" w:eastAsia="Calibri" w:hAnsi="Calibri" w:cs="Times New Roman"/>
      <w:kern w:val="0"/>
      <w:sz w:val="20"/>
      <w:szCs w:val="20"/>
    </w:rPr>
  </w:style>
  <w:style w:type="paragraph" w:styleId="CommentSubject">
    <w:name w:val="annotation subject"/>
    <w:basedOn w:val="CommentText"/>
    <w:next w:val="CommentText"/>
    <w:link w:val="CommentSubjectChar"/>
    <w:uiPriority w:val="99"/>
    <w:semiHidden/>
    <w:unhideWhenUsed/>
    <w:rsid w:val="00723407"/>
    <w:rPr>
      <w:b/>
      <w:bCs/>
    </w:rPr>
  </w:style>
  <w:style w:type="character" w:customStyle="1" w:styleId="CommentSubjectChar">
    <w:name w:val="Comment Subject Char"/>
    <w:basedOn w:val="CommentTextChar"/>
    <w:link w:val="CommentSubject"/>
    <w:uiPriority w:val="99"/>
    <w:semiHidden/>
    <w:rsid w:val="00723407"/>
    <w:rPr>
      <w:rFonts w:ascii="Calibri" w:eastAsia="Calibri" w:hAnsi="Calibri" w:cs="Times New Roman"/>
      <w:b/>
      <w:bCs/>
      <w:kern w:val="0"/>
      <w:sz w:val="20"/>
      <w:szCs w:val="20"/>
    </w:rPr>
  </w:style>
  <w:style w:type="character" w:customStyle="1" w:styleId="Heading2Char">
    <w:name w:val="Heading 2 Char"/>
    <w:basedOn w:val="DefaultParagraphFont"/>
    <w:link w:val="Heading2"/>
    <w:uiPriority w:val="9"/>
    <w:semiHidden/>
    <w:rsid w:val="009333B9"/>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reamtext.net/player?event=CFI-UNOG" TargetMode="External"/><Relationship Id="rId18" Type="http://schemas.openxmlformats.org/officeDocument/2006/relationships/hyperlink" Target="https://www.ohchr.org/Documents/Press/Durban_Review_Conference_outcome_document.pdf" TargetMode="External"/><Relationship Id="rId26" Type="http://schemas.openxmlformats.org/officeDocument/2006/relationships/hyperlink" Target="https://docs.un.org/A/80/324" TargetMode="External"/><Relationship Id="rId3" Type="http://schemas.openxmlformats.org/officeDocument/2006/relationships/customXml" Target="../customXml/item3.xml"/><Relationship Id="rId21" Type="http://schemas.openxmlformats.org/officeDocument/2006/relationships/hyperlink" Target="https://www.ohchr.org/sites/default/files/documents/issues/racism/ddpa/a-conf189-12-supplementary-information-1-en.pdf"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cs.un.org/A/RES/80/193" TargetMode="External"/><Relationship Id="rId17" Type="http://schemas.openxmlformats.org/officeDocument/2006/relationships/hyperlink" Target="https://waps.ohchr.org/en/publications/reference-publications/durban-declaration-and-programme-action" TargetMode="External"/><Relationship Id="rId25" Type="http://schemas.openxmlformats.org/officeDocument/2006/relationships/hyperlink" Target="https://digitallibrary.un.org/record/4087678?ln=en&amp;v=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un.org/A/RES/80/193" TargetMode="External"/><Relationship Id="rId20" Type="http://schemas.openxmlformats.org/officeDocument/2006/relationships/hyperlink" Target="https://www.un.org/en/durban-20-anniversary" TargetMode="External"/><Relationship Id="rId29" Type="http://schemas.openxmlformats.org/officeDocument/2006/relationships/hyperlink" Target="https://docs.un.org/A/HRC/60/7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un.org/A/HRC/RES/60/16" TargetMode="External"/><Relationship Id="rId24" Type="http://schemas.openxmlformats.org/officeDocument/2006/relationships/hyperlink" Target="https://tbinternet.ohchr.org/_layouts/15/treatybodyexternal/TBSearch.aspx?Lang=en&amp;TreatyID=6&amp;DocTypeID=11"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docs.un.org/A/HRC/RES/60/16" TargetMode="External"/><Relationship Id="rId23" Type="http://schemas.openxmlformats.org/officeDocument/2006/relationships/hyperlink" Target="https://www.ohchr.org/en/instruments-mechanisms/instruments/international-convention-elimination-all-forms-racial" TargetMode="External"/><Relationship Id="rId28" Type="http://schemas.openxmlformats.org/officeDocument/2006/relationships/hyperlink" Target="https://docs.un.org/A/HRC/60/76" TargetMode="External"/><Relationship Id="rId10" Type="http://schemas.openxmlformats.org/officeDocument/2006/relationships/hyperlink" Target="https://webtv.un.org" TargetMode="External"/><Relationship Id="rId19" Type="http://schemas.openxmlformats.org/officeDocument/2006/relationships/hyperlink" Target="https://www.un.org/en/ga/durbanmeeting2011/index.shtml" TargetMode="External"/><Relationship Id="rId31" Type="http://schemas.openxmlformats.org/officeDocument/2006/relationships/hyperlink" Target="https://docs.un.org/A/80/3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hchr.org/en/hr-bodies/hrc/accessibility" TargetMode="External"/><Relationship Id="rId22" Type="http://schemas.openxmlformats.org/officeDocument/2006/relationships/hyperlink" Target="https://www.ohchr.org/en/racism/fighting-racism-20-years-adoption-durban-declaration-and-programme-action" TargetMode="External"/><Relationship Id="rId27" Type="http://schemas.openxmlformats.org/officeDocument/2006/relationships/hyperlink" Target="https://docs.un.org/A/HRC/60/78" TargetMode="External"/><Relationship Id="rId30" Type="http://schemas.openxmlformats.org/officeDocument/2006/relationships/hyperlink" Target="https://docs.un.org/A/HRC/60/74"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EAB9300D60AF489460A39DF253F821" ma:contentTypeVersion="0" ma:contentTypeDescription="Create a new document." ma:contentTypeScope="" ma:versionID="f40abc6a7087f70a8fbb88c511c74eb3">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8580B-D2FD-4BDB-97C6-6ABAB6857059}">
  <ds:schemaRefs>
    <ds:schemaRef ds:uri="http://schemas.microsoft.com/sharepoint/v3/contenttype/forms"/>
  </ds:schemaRefs>
</ds:datastoreItem>
</file>

<file path=customXml/itemProps2.xml><?xml version="1.0" encoding="utf-8"?>
<ds:datastoreItem xmlns:ds="http://schemas.openxmlformats.org/officeDocument/2006/customXml" ds:itemID="{64B8B1FD-FC5C-4351-8790-8A9A02DD3DF2}"/>
</file>

<file path=customXml/itemProps3.xml><?xml version="1.0" encoding="utf-8"?>
<ds:datastoreItem xmlns:ds="http://schemas.openxmlformats.org/officeDocument/2006/customXml" ds:itemID="{03B66F66-81CC-46CE-A9DA-F20285991FD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137</TotalTime>
  <Pages>3</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Celina Arevalo Flores</dc:creator>
  <cp:keywords/>
  <dc:description/>
  <cp:lastModifiedBy>Petra Ticha</cp:lastModifiedBy>
  <cp:revision>41</cp:revision>
  <dcterms:created xsi:type="dcterms:W3CDTF">2026-02-02T12:03:00Z</dcterms:created>
  <dcterms:modified xsi:type="dcterms:W3CDTF">2026-02-23T21:20:00Z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0x0101005AEAB9300D60AF489460A39DF253F821</vt:lpwstr>
  </property>
  <property fmtid="{D5CDD505-2E9C-101B-9397-08002B2CF9AE}" pid="3" name="MediaServiceImageTags">
    <vt:lpwstr/>
  </property>
</Properties>
</file>