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172A" w14:textId="7A731566" w:rsidR="00CE575B" w:rsidRPr="003F65AB" w:rsidRDefault="00AB587B" w:rsidP="0018727D">
      <w:pPr>
        <w:spacing w:after="120" w:line="240" w:lineRule="auto"/>
        <w:ind w:left="-709" w:right="-896"/>
        <w:jc w:val="center"/>
        <w:rPr>
          <w:rFonts w:asciiTheme="minorHAnsi" w:hAnsiTheme="minorHAnsi" w:cstheme="minorHAnsi"/>
          <w:b/>
          <w:sz w:val="24"/>
          <w:szCs w:val="24"/>
        </w:rPr>
      </w:pPr>
      <w:r>
        <w:rPr>
          <w:rFonts w:asciiTheme="minorHAnsi" w:hAnsiTheme="minorHAnsi" w:cstheme="minorHAnsi"/>
          <w:b/>
          <w:sz w:val="24"/>
          <w:szCs w:val="24"/>
        </w:rPr>
        <w:t>62nd</w:t>
      </w:r>
      <w:r w:rsidR="004E3135" w:rsidRPr="003F65AB">
        <w:rPr>
          <w:rFonts w:asciiTheme="minorHAnsi" w:hAnsiTheme="minorHAnsi" w:cstheme="minorHAnsi"/>
          <w:b/>
          <w:sz w:val="24"/>
          <w:szCs w:val="24"/>
        </w:rPr>
        <w:t xml:space="preserve"> </w:t>
      </w:r>
      <w:r w:rsidR="004450A8" w:rsidRPr="003F65AB">
        <w:rPr>
          <w:rFonts w:asciiTheme="minorHAnsi" w:hAnsiTheme="minorHAnsi" w:cstheme="minorHAnsi"/>
          <w:b/>
          <w:sz w:val="24"/>
          <w:szCs w:val="24"/>
        </w:rPr>
        <w:t>s</w:t>
      </w:r>
      <w:r w:rsidR="007A2709" w:rsidRPr="003F65AB">
        <w:rPr>
          <w:rFonts w:asciiTheme="minorHAnsi" w:hAnsiTheme="minorHAnsi" w:cstheme="minorHAnsi"/>
          <w:b/>
          <w:sz w:val="24"/>
          <w:szCs w:val="24"/>
        </w:rPr>
        <w:t>ession of the Human Rights Council</w:t>
      </w:r>
    </w:p>
    <w:p w14:paraId="3EA373B8" w14:textId="77777777" w:rsidR="005C78F6" w:rsidRPr="003F65AB" w:rsidRDefault="005C78F6" w:rsidP="0018727D">
      <w:pPr>
        <w:spacing w:after="60" w:line="240" w:lineRule="auto"/>
        <w:ind w:left="-709" w:right="-896"/>
        <w:jc w:val="center"/>
        <w:rPr>
          <w:rFonts w:asciiTheme="minorHAnsi" w:hAnsiTheme="minorHAnsi" w:cstheme="minorHAnsi"/>
          <w:b/>
          <w:sz w:val="28"/>
          <w:szCs w:val="32"/>
        </w:rPr>
      </w:pPr>
      <w:bookmarkStart w:id="0" w:name="_Hlk135211962"/>
      <w:r w:rsidRPr="003F65AB">
        <w:rPr>
          <w:rFonts w:asciiTheme="minorHAnsi" w:hAnsiTheme="minorHAnsi" w:cstheme="minorHAnsi"/>
          <w:b/>
          <w:sz w:val="28"/>
          <w:szCs w:val="32"/>
        </w:rPr>
        <w:t>Annual full-day discussion on the human rights of women</w:t>
      </w:r>
    </w:p>
    <w:p w14:paraId="1F9B2393" w14:textId="3DFEA78D" w:rsidR="005C78F6" w:rsidRPr="003F65AB" w:rsidRDefault="005C78F6" w:rsidP="0018727D">
      <w:pPr>
        <w:spacing w:after="60" w:line="240" w:lineRule="auto"/>
        <w:ind w:left="-709" w:right="-896"/>
        <w:jc w:val="center"/>
        <w:rPr>
          <w:rFonts w:asciiTheme="minorHAnsi" w:hAnsiTheme="minorHAnsi" w:cstheme="minorBidi"/>
          <w:b/>
          <w:bCs/>
          <w:sz w:val="24"/>
          <w:szCs w:val="24"/>
          <w:lang w:val="en-US"/>
        </w:rPr>
      </w:pPr>
      <w:r w:rsidRPr="004F73F0">
        <w:rPr>
          <w:rFonts w:asciiTheme="minorHAnsi" w:hAnsiTheme="minorHAnsi" w:cstheme="minorBidi"/>
          <w:b/>
          <w:bCs/>
          <w:i/>
          <w:iCs/>
          <w:sz w:val="24"/>
          <w:szCs w:val="24"/>
        </w:rPr>
        <w:t xml:space="preserve">Panel 2: </w:t>
      </w:r>
      <w:r w:rsidR="009A794B" w:rsidRPr="004F73F0">
        <w:rPr>
          <w:rFonts w:asciiTheme="minorHAnsi" w:hAnsiTheme="minorHAnsi" w:cstheme="minorBidi"/>
          <w:b/>
          <w:bCs/>
          <w:i/>
          <w:iCs/>
          <w:sz w:val="24"/>
          <w:szCs w:val="24"/>
        </w:rPr>
        <w:t xml:space="preserve">Commemoration of the International Day of Women in Diplomacy focusing on </w:t>
      </w:r>
      <w:r w:rsidR="009A794B">
        <w:rPr>
          <w:rFonts w:asciiTheme="minorHAnsi" w:hAnsiTheme="minorHAnsi" w:cstheme="minorBidi"/>
          <w:b/>
          <w:bCs/>
          <w:i/>
          <w:iCs/>
          <w:sz w:val="24"/>
          <w:szCs w:val="24"/>
        </w:rPr>
        <w:br/>
      </w:r>
      <w:bookmarkStart w:id="1" w:name="_Hlk199837648"/>
      <w:r w:rsidR="009A794B" w:rsidRPr="009A794B">
        <w:rPr>
          <w:rFonts w:asciiTheme="minorHAnsi" w:hAnsiTheme="minorHAnsi" w:cstheme="minorBidi"/>
          <w:b/>
          <w:bCs/>
          <w:i/>
          <w:iCs/>
          <w:sz w:val="24"/>
          <w:szCs w:val="24"/>
        </w:rPr>
        <w:t>w</w:t>
      </w:r>
      <w:r w:rsidR="007D0A03" w:rsidRPr="007D0A03">
        <w:rPr>
          <w:rFonts w:asciiTheme="minorHAnsi" w:hAnsiTheme="minorHAnsi" w:cstheme="minorBidi"/>
          <w:b/>
          <w:bCs/>
          <w:i/>
          <w:iCs/>
          <w:sz w:val="24"/>
          <w:szCs w:val="24"/>
        </w:rPr>
        <w:t xml:space="preserve">omen’s </w:t>
      </w:r>
      <w:r w:rsidR="0043614E">
        <w:rPr>
          <w:rFonts w:asciiTheme="minorHAnsi" w:hAnsiTheme="minorHAnsi" w:cstheme="minorBidi"/>
          <w:b/>
          <w:bCs/>
          <w:i/>
          <w:iCs/>
          <w:sz w:val="24"/>
          <w:szCs w:val="24"/>
        </w:rPr>
        <w:t>r</w:t>
      </w:r>
      <w:r w:rsidR="0043614E" w:rsidRPr="007D0A03">
        <w:rPr>
          <w:rFonts w:asciiTheme="minorHAnsi" w:hAnsiTheme="minorHAnsi" w:cstheme="minorBidi"/>
          <w:b/>
          <w:bCs/>
          <w:i/>
          <w:iCs/>
          <w:sz w:val="24"/>
          <w:szCs w:val="24"/>
        </w:rPr>
        <w:t>ight</w:t>
      </w:r>
      <w:r w:rsidR="0043614E">
        <w:rPr>
          <w:rFonts w:asciiTheme="minorHAnsi" w:hAnsiTheme="minorHAnsi" w:cstheme="minorBidi"/>
          <w:b/>
          <w:bCs/>
          <w:i/>
          <w:iCs/>
          <w:sz w:val="24"/>
          <w:szCs w:val="24"/>
        </w:rPr>
        <w:t xml:space="preserve"> to work and </w:t>
      </w:r>
      <w:r w:rsidR="00247BE1" w:rsidRPr="00247BE1">
        <w:rPr>
          <w:rFonts w:asciiTheme="minorHAnsi" w:hAnsiTheme="minorHAnsi" w:cstheme="minorBidi"/>
          <w:b/>
          <w:bCs/>
          <w:i/>
          <w:iCs/>
          <w:sz w:val="24"/>
          <w:szCs w:val="24"/>
        </w:rPr>
        <w:t xml:space="preserve">representation in </w:t>
      </w:r>
      <w:r w:rsidR="008D7149">
        <w:rPr>
          <w:rFonts w:asciiTheme="minorHAnsi" w:hAnsiTheme="minorHAnsi" w:cstheme="minorBidi"/>
          <w:b/>
          <w:bCs/>
          <w:i/>
          <w:iCs/>
          <w:sz w:val="24"/>
          <w:szCs w:val="24"/>
        </w:rPr>
        <w:t>decision-making</w:t>
      </w:r>
      <w:r w:rsidR="009557B6">
        <w:rPr>
          <w:rFonts w:asciiTheme="minorHAnsi" w:hAnsiTheme="minorHAnsi" w:cstheme="minorBidi"/>
          <w:b/>
          <w:bCs/>
          <w:i/>
          <w:iCs/>
          <w:sz w:val="24"/>
          <w:szCs w:val="24"/>
        </w:rPr>
        <w:t xml:space="preserve"> </w:t>
      </w:r>
    </w:p>
    <w:bookmarkEnd w:id="0"/>
    <w:bookmarkEnd w:id="1"/>
    <w:p w14:paraId="34A869CA" w14:textId="590BEF94" w:rsidR="0057603F" w:rsidRPr="003F65AB" w:rsidRDefault="00B4016A" w:rsidP="0018727D">
      <w:pPr>
        <w:spacing w:before="240" w:after="240" w:line="240" w:lineRule="auto"/>
        <w:ind w:left="-709" w:right="-896"/>
        <w:jc w:val="center"/>
        <w:rPr>
          <w:rFonts w:asciiTheme="minorHAnsi" w:hAnsiTheme="minorHAnsi" w:cstheme="minorBidi"/>
          <w:i/>
          <w:iCs/>
        </w:rPr>
      </w:pPr>
      <w:r w:rsidRPr="629C7DB7">
        <w:rPr>
          <w:rFonts w:asciiTheme="minorHAnsi" w:hAnsiTheme="minorHAnsi" w:cstheme="minorBidi"/>
          <w:i/>
          <w:iCs/>
        </w:rPr>
        <w:t>C</w:t>
      </w:r>
      <w:r w:rsidR="00C85246" w:rsidRPr="629C7DB7">
        <w:rPr>
          <w:rFonts w:asciiTheme="minorHAnsi" w:hAnsiTheme="minorHAnsi" w:cstheme="minorBidi"/>
          <w:i/>
          <w:iCs/>
        </w:rPr>
        <w:t xml:space="preserve">oncept </w:t>
      </w:r>
      <w:r w:rsidR="004450A8" w:rsidRPr="629C7DB7">
        <w:rPr>
          <w:rFonts w:asciiTheme="minorHAnsi" w:hAnsiTheme="minorHAnsi" w:cstheme="minorBidi"/>
          <w:i/>
          <w:iCs/>
        </w:rPr>
        <w:t>n</w:t>
      </w:r>
      <w:r w:rsidR="00C85246" w:rsidRPr="629C7DB7">
        <w:rPr>
          <w:rFonts w:asciiTheme="minorHAnsi" w:hAnsiTheme="minorHAnsi" w:cstheme="minorBidi"/>
          <w:i/>
          <w:iCs/>
        </w:rPr>
        <w:t>ote</w:t>
      </w:r>
      <w:r w:rsidR="00287518" w:rsidRPr="629C7DB7">
        <w:rPr>
          <w:rFonts w:asciiTheme="minorHAnsi" w:hAnsiTheme="minorHAnsi" w:cstheme="minorBidi"/>
          <w:i/>
          <w:iCs/>
        </w:rPr>
        <w:t xml:space="preserve"> (as of</w:t>
      </w:r>
      <w:r w:rsidR="008160D5">
        <w:rPr>
          <w:rFonts w:asciiTheme="minorHAnsi" w:hAnsiTheme="minorHAnsi" w:cstheme="minorBidi"/>
          <w:i/>
          <w:iCs/>
        </w:rPr>
        <w:t xml:space="preserve"> </w:t>
      </w:r>
      <w:r w:rsidR="0019130A">
        <w:rPr>
          <w:rFonts w:asciiTheme="minorHAnsi" w:hAnsiTheme="minorHAnsi" w:cstheme="minorBidi"/>
          <w:i/>
          <w:iCs/>
          <w:lang w:eastAsia="zh-CN"/>
        </w:rPr>
        <w:t>23</w:t>
      </w:r>
      <w:r w:rsidR="009E0570">
        <w:rPr>
          <w:rFonts w:asciiTheme="minorHAnsi" w:hAnsiTheme="minorHAnsi" w:cstheme="minorBidi"/>
          <w:i/>
          <w:iCs/>
        </w:rPr>
        <w:t xml:space="preserve"> </w:t>
      </w:r>
      <w:r w:rsidR="00597288">
        <w:rPr>
          <w:rFonts w:asciiTheme="minorHAnsi" w:hAnsiTheme="minorHAnsi" w:cstheme="minorBidi" w:hint="eastAsia"/>
          <w:i/>
          <w:iCs/>
          <w:lang w:eastAsia="zh-CN"/>
        </w:rPr>
        <w:t>June</w:t>
      </w:r>
      <w:r w:rsidR="00854913">
        <w:rPr>
          <w:rFonts w:asciiTheme="minorHAnsi" w:hAnsiTheme="minorHAnsi" w:cstheme="minorBidi"/>
          <w:i/>
          <w:iCs/>
        </w:rPr>
        <w:t xml:space="preserve"> </w:t>
      </w:r>
      <w:r w:rsidR="008160D5">
        <w:rPr>
          <w:rFonts w:asciiTheme="minorHAnsi" w:hAnsiTheme="minorHAnsi" w:cstheme="minorBidi"/>
          <w:i/>
          <w:iCs/>
        </w:rPr>
        <w:t>202</w:t>
      </w:r>
      <w:r w:rsidR="00AB587B">
        <w:rPr>
          <w:rFonts w:asciiTheme="minorHAnsi" w:hAnsiTheme="minorHAnsi" w:cstheme="minorBidi"/>
          <w:i/>
          <w:iCs/>
        </w:rPr>
        <w:t>6</w:t>
      </w:r>
      <w:r w:rsidR="00287518" w:rsidRPr="629C7DB7">
        <w:rPr>
          <w:rFonts w:asciiTheme="minorHAnsi" w:hAnsiTheme="minorHAnsi" w:cstheme="minorBidi"/>
          <w:i/>
          <w:iCs/>
        </w:rPr>
        <w:t>)</w:t>
      </w:r>
    </w:p>
    <w:tbl>
      <w:tblPr>
        <w:tblW w:w="10206" w:type="dxa"/>
        <w:tblInd w:w="-459" w:type="dxa"/>
        <w:tblLook w:val="04A0" w:firstRow="1" w:lastRow="0" w:firstColumn="1" w:lastColumn="0" w:noHBand="0" w:noVBand="1"/>
      </w:tblPr>
      <w:tblGrid>
        <w:gridCol w:w="1616"/>
        <w:gridCol w:w="8590"/>
      </w:tblGrid>
      <w:tr w:rsidR="002F414D" w:rsidRPr="003F65AB" w14:paraId="1FA6A669" w14:textId="77777777" w:rsidTr="5BE82252">
        <w:tc>
          <w:tcPr>
            <w:tcW w:w="1616" w:type="dxa"/>
          </w:tcPr>
          <w:p w14:paraId="3BEF2BB9" w14:textId="77777777" w:rsidR="002F414D" w:rsidRPr="003F65AB" w:rsidRDefault="002F414D" w:rsidP="0018727D">
            <w:pPr>
              <w:spacing w:after="0" w:line="240" w:lineRule="auto"/>
              <w:rPr>
                <w:rFonts w:asciiTheme="minorHAnsi" w:hAnsiTheme="minorHAnsi" w:cstheme="minorHAnsi"/>
                <w:b/>
              </w:rPr>
            </w:pPr>
            <w:r w:rsidRPr="003F65AB">
              <w:rPr>
                <w:rFonts w:asciiTheme="minorHAnsi" w:hAnsiTheme="minorHAnsi" w:cstheme="minorHAnsi"/>
                <w:b/>
              </w:rPr>
              <w:t xml:space="preserve">Date and </w:t>
            </w:r>
            <w:r w:rsidR="004450A8" w:rsidRPr="003F65AB">
              <w:rPr>
                <w:rFonts w:asciiTheme="minorHAnsi" w:hAnsiTheme="minorHAnsi" w:cstheme="minorHAnsi"/>
                <w:b/>
              </w:rPr>
              <w:t>v</w:t>
            </w:r>
            <w:r w:rsidRPr="003F65AB">
              <w:rPr>
                <w:rFonts w:asciiTheme="minorHAnsi" w:hAnsiTheme="minorHAnsi" w:cstheme="minorHAnsi"/>
                <w:b/>
              </w:rPr>
              <w:t>enue:</w:t>
            </w:r>
          </w:p>
        </w:tc>
        <w:tc>
          <w:tcPr>
            <w:tcW w:w="8590" w:type="dxa"/>
          </w:tcPr>
          <w:p w14:paraId="616D1AAB" w14:textId="448339C8" w:rsidR="002F414D" w:rsidRPr="003F65AB" w:rsidRDefault="007E4F9A" w:rsidP="0018727D">
            <w:pPr>
              <w:spacing w:after="0" w:line="240" w:lineRule="auto"/>
              <w:rPr>
                <w:rFonts w:asciiTheme="minorHAnsi" w:hAnsiTheme="minorHAnsi" w:cstheme="minorHAnsi"/>
                <w:b/>
                <w:bCs/>
              </w:rPr>
            </w:pPr>
            <w:r>
              <w:rPr>
                <w:rFonts w:asciiTheme="minorHAnsi" w:hAnsiTheme="minorHAnsi" w:cstheme="minorHAnsi"/>
                <w:b/>
                <w:bCs/>
              </w:rPr>
              <w:t>Wednesday</w:t>
            </w:r>
            <w:r w:rsidR="0082257A" w:rsidRPr="003F65AB">
              <w:rPr>
                <w:rFonts w:asciiTheme="minorHAnsi" w:hAnsiTheme="minorHAnsi" w:cstheme="minorHAnsi"/>
                <w:b/>
                <w:bCs/>
              </w:rPr>
              <w:t xml:space="preserve">, </w:t>
            </w:r>
            <w:r w:rsidR="008D2305" w:rsidRPr="003F65AB">
              <w:rPr>
                <w:rFonts w:asciiTheme="minorHAnsi" w:hAnsiTheme="minorHAnsi" w:cstheme="minorHAnsi"/>
                <w:b/>
                <w:bCs/>
              </w:rPr>
              <w:t>2</w:t>
            </w:r>
            <w:r>
              <w:rPr>
                <w:rFonts w:asciiTheme="minorHAnsi" w:hAnsiTheme="minorHAnsi" w:cstheme="minorHAnsi"/>
                <w:b/>
                <w:bCs/>
              </w:rPr>
              <w:t>4</w:t>
            </w:r>
            <w:r w:rsidR="0082257A" w:rsidRPr="003F65AB">
              <w:rPr>
                <w:rFonts w:asciiTheme="minorHAnsi" w:hAnsiTheme="minorHAnsi" w:cstheme="minorHAnsi"/>
                <w:b/>
                <w:bCs/>
              </w:rPr>
              <w:t xml:space="preserve"> </w:t>
            </w:r>
            <w:r w:rsidR="008D2305" w:rsidRPr="003F65AB">
              <w:rPr>
                <w:rFonts w:asciiTheme="minorHAnsi" w:hAnsiTheme="minorHAnsi" w:cstheme="minorHAnsi"/>
                <w:b/>
                <w:bCs/>
              </w:rPr>
              <w:t xml:space="preserve">June </w:t>
            </w:r>
            <w:r w:rsidR="0082257A" w:rsidRPr="003F65AB">
              <w:rPr>
                <w:rFonts w:asciiTheme="minorHAnsi" w:hAnsiTheme="minorHAnsi" w:cstheme="minorHAnsi"/>
                <w:b/>
                <w:bCs/>
              </w:rPr>
              <w:t>202</w:t>
            </w:r>
            <w:r w:rsidR="00362E4A">
              <w:rPr>
                <w:rFonts w:asciiTheme="minorHAnsi" w:hAnsiTheme="minorHAnsi" w:cstheme="minorHAnsi"/>
                <w:b/>
                <w:bCs/>
              </w:rPr>
              <w:t>6</w:t>
            </w:r>
            <w:r w:rsidR="0082257A" w:rsidRPr="003F65AB">
              <w:rPr>
                <w:rFonts w:asciiTheme="minorHAnsi" w:hAnsiTheme="minorHAnsi" w:cstheme="minorHAnsi"/>
                <w:b/>
                <w:bCs/>
              </w:rPr>
              <w:t xml:space="preserve">, </w:t>
            </w:r>
            <w:r>
              <w:rPr>
                <w:rFonts w:asciiTheme="minorHAnsi" w:hAnsiTheme="minorHAnsi" w:cstheme="minorHAnsi"/>
                <w:b/>
                <w:bCs/>
              </w:rPr>
              <w:t>4</w:t>
            </w:r>
            <w:r w:rsidR="00B54C2C" w:rsidRPr="00E05F93">
              <w:rPr>
                <w:rFonts w:cs="Arial"/>
                <w:sz w:val="23"/>
                <w:szCs w:val="23"/>
              </w:rPr>
              <w:t>–</w:t>
            </w:r>
            <w:r>
              <w:rPr>
                <w:rFonts w:asciiTheme="minorHAnsi" w:hAnsiTheme="minorHAnsi" w:cstheme="minorHAnsi"/>
                <w:b/>
                <w:bCs/>
              </w:rPr>
              <w:t>6 p</w:t>
            </w:r>
            <w:r w:rsidR="00B54C2C">
              <w:rPr>
                <w:rFonts w:asciiTheme="minorHAnsi" w:hAnsiTheme="minorHAnsi" w:cstheme="minorHAnsi"/>
                <w:b/>
                <w:bCs/>
              </w:rPr>
              <w:t>.</w:t>
            </w:r>
            <w:r>
              <w:rPr>
                <w:rFonts w:asciiTheme="minorHAnsi" w:hAnsiTheme="minorHAnsi" w:cstheme="minorHAnsi"/>
                <w:b/>
                <w:bCs/>
              </w:rPr>
              <w:t>m</w:t>
            </w:r>
            <w:r w:rsidR="00B54C2C">
              <w:rPr>
                <w:rFonts w:asciiTheme="minorHAnsi" w:hAnsiTheme="minorHAnsi" w:cstheme="minorHAnsi"/>
                <w:b/>
                <w:bCs/>
              </w:rPr>
              <w:t>.</w:t>
            </w:r>
            <w:r w:rsidR="008D2305" w:rsidRPr="003F65AB">
              <w:rPr>
                <w:rFonts w:asciiTheme="minorHAnsi" w:hAnsiTheme="minorHAnsi" w:cstheme="minorHAnsi"/>
              </w:rPr>
              <w:br/>
            </w:r>
            <w:r w:rsidR="003F4E28">
              <w:rPr>
                <w:rFonts w:asciiTheme="minorHAnsi" w:hAnsiTheme="minorHAnsi" w:cstheme="minorHAnsi"/>
                <w:b/>
                <w:bCs/>
              </w:rPr>
              <w:t>Assembly Hall</w:t>
            </w:r>
            <w:r w:rsidR="008A1448" w:rsidRPr="003F65AB">
              <w:rPr>
                <w:rFonts w:asciiTheme="minorHAnsi" w:hAnsiTheme="minorHAnsi" w:cstheme="minorHAnsi"/>
                <w:b/>
                <w:bCs/>
              </w:rPr>
              <w:t xml:space="preserve">, </w:t>
            </w:r>
            <w:r w:rsidR="002F414D" w:rsidRPr="003F65AB">
              <w:rPr>
                <w:rFonts w:asciiTheme="minorHAnsi" w:hAnsiTheme="minorHAnsi" w:cstheme="minorHAnsi"/>
                <w:b/>
                <w:bCs/>
              </w:rPr>
              <w:t xml:space="preserve">Palais des Nations, </w:t>
            </w:r>
            <w:r w:rsidR="00BD13F4" w:rsidRPr="003F65AB">
              <w:rPr>
                <w:rFonts w:asciiTheme="minorHAnsi" w:hAnsiTheme="minorHAnsi" w:cstheme="minorHAnsi"/>
                <w:b/>
                <w:bCs/>
              </w:rPr>
              <w:t>Geneva</w:t>
            </w:r>
          </w:p>
          <w:p w14:paraId="31A4F062" w14:textId="7D9387EF" w:rsidR="002F414D" w:rsidRPr="003F65AB" w:rsidRDefault="00DF2888" w:rsidP="0018727D">
            <w:pPr>
              <w:spacing w:after="120" w:line="240" w:lineRule="auto"/>
              <w:rPr>
                <w:rFonts w:asciiTheme="minorHAnsi" w:hAnsiTheme="minorHAnsi" w:cstheme="minorHAnsi"/>
                <w:i/>
              </w:rPr>
            </w:pPr>
            <w:r w:rsidRPr="003F65AB">
              <w:rPr>
                <w:rFonts w:asciiTheme="minorHAnsi" w:hAnsiTheme="minorHAnsi" w:cstheme="minorHAnsi"/>
                <w:i/>
              </w:rPr>
              <w:t>(broadcast live and archived at</w:t>
            </w:r>
            <w:r w:rsidR="00594088" w:rsidRPr="003F65AB">
              <w:rPr>
                <w:rFonts w:asciiTheme="minorHAnsi" w:hAnsiTheme="minorHAnsi" w:cstheme="minorHAnsi"/>
              </w:rPr>
              <w:t xml:space="preserve"> </w:t>
            </w:r>
            <w:hyperlink r:id="rId11" w:history="1">
              <w:r w:rsidR="00594088" w:rsidRPr="003F65AB">
                <w:rPr>
                  <w:rStyle w:val="Hyperlink"/>
                  <w:rFonts w:asciiTheme="minorHAnsi" w:hAnsiTheme="minorHAnsi" w:cstheme="minorHAnsi"/>
                  <w:i/>
                </w:rPr>
                <w:t>https://webtv.un.org</w:t>
              </w:r>
            </w:hyperlink>
            <w:r w:rsidR="00594088" w:rsidRPr="003F65AB">
              <w:rPr>
                <w:rFonts w:asciiTheme="minorHAnsi" w:hAnsiTheme="minorHAnsi" w:cstheme="minorHAnsi"/>
                <w:i/>
              </w:rPr>
              <w:t xml:space="preserve">) </w:t>
            </w:r>
          </w:p>
        </w:tc>
      </w:tr>
      <w:tr w:rsidR="005C78F6" w:rsidRPr="003F65AB" w14:paraId="790393C7" w14:textId="77777777" w:rsidTr="5BE82252">
        <w:tc>
          <w:tcPr>
            <w:tcW w:w="1616" w:type="dxa"/>
          </w:tcPr>
          <w:p w14:paraId="574AD692" w14:textId="77777777" w:rsidR="005C78F6" w:rsidRPr="003F65AB" w:rsidRDefault="005C78F6" w:rsidP="0018727D">
            <w:pPr>
              <w:spacing w:after="0" w:line="240" w:lineRule="auto"/>
              <w:rPr>
                <w:rFonts w:asciiTheme="minorHAnsi" w:hAnsiTheme="minorHAnsi" w:cstheme="minorHAnsi"/>
                <w:b/>
              </w:rPr>
            </w:pPr>
            <w:r w:rsidRPr="003F65AB">
              <w:rPr>
                <w:rFonts w:asciiTheme="minorHAnsi" w:hAnsiTheme="minorHAnsi" w:cstheme="minorHAnsi"/>
                <w:b/>
              </w:rPr>
              <w:t>Objectives:</w:t>
            </w:r>
          </w:p>
        </w:tc>
        <w:tc>
          <w:tcPr>
            <w:tcW w:w="8590" w:type="dxa"/>
          </w:tcPr>
          <w:p w14:paraId="7A38EB4A" w14:textId="1C1E8240" w:rsidR="00850BF7" w:rsidRPr="00324869" w:rsidRDefault="00324869" w:rsidP="0018727D">
            <w:pPr>
              <w:spacing w:after="120" w:line="240" w:lineRule="auto"/>
              <w:jc w:val="both"/>
              <w:rPr>
                <w:rFonts w:asciiTheme="minorHAnsi" w:hAnsiTheme="minorHAnsi" w:cstheme="minorBidi"/>
              </w:rPr>
            </w:pPr>
            <w:r w:rsidRPr="00324869">
              <w:rPr>
                <w:rFonts w:asciiTheme="minorHAnsi" w:hAnsiTheme="minorHAnsi" w:cstheme="minorBidi"/>
              </w:rPr>
              <w:t>To commemorate the International Day of Women in Diplomacy</w:t>
            </w:r>
            <w:r w:rsidR="00D25F3C">
              <w:rPr>
                <w:rFonts w:asciiTheme="minorHAnsi" w:hAnsiTheme="minorHAnsi" w:cstheme="minorBidi"/>
              </w:rPr>
              <w:t xml:space="preserve"> in 2026</w:t>
            </w:r>
            <w:r w:rsidRPr="00324869">
              <w:rPr>
                <w:rFonts w:asciiTheme="minorHAnsi" w:hAnsiTheme="minorHAnsi" w:cstheme="minorBidi"/>
              </w:rPr>
              <w:t>, the panel discussion provides a platform to examine how women’s right to work and conditions in the world of work shape women’s participation, leadership and influence in decision</w:t>
            </w:r>
            <w:r w:rsidRPr="00324869">
              <w:rPr>
                <w:rFonts w:asciiTheme="minorHAnsi" w:hAnsiTheme="minorHAnsi" w:cstheme="minorBidi"/>
              </w:rPr>
              <w:noBreakHyphen/>
              <w:t>making</w:t>
            </w:r>
            <w:r>
              <w:rPr>
                <w:rFonts w:asciiTheme="minorHAnsi" w:hAnsiTheme="minorHAnsi" w:cstheme="minorBidi"/>
              </w:rPr>
              <w:t xml:space="preserve"> in </w:t>
            </w:r>
            <w:r w:rsidR="005B119D" w:rsidRPr="005B119D">
              <w:rPr>
                <w:rFonts w:asciiTheme="minorHAnsi" w:hAnsiTheme="minorHAnsi" w:cstheme="minorBidi"/>
              </w:rPr>
              <w:t>public administration, diplomacy and multilateral contexts</w:t>
            </w:r>
            <w:r w:rsidR="00766DDB" w:rsidRPr="31A6510C">
              <w:rPr>
                <w:rFonts w:asciiTheme="minorHAnsi" w:hAnsiTheme="minorHAnsi" w:cstheme="minorBidi"/>
              </w:rPr>
              <w:t>.</w:t>
            </w:r>
          </w:p>
          <w:p w14:paraId="72CE1D84" w14:textId="20A7F569" w:rsidR="00546F8C" w:rsidRPr="00546F8C" w:rsidRDefault="00546F8C" w:rsidP="0018727D">
            <w:pPr>
              <w:spacing w:after="0" w:line="240" w:lineRule="auto"/>
              <w:rPr>
                <w:rFonts w:asciiTheme="minorHAnsi" w:hAnsiTheme="minorHAnsi" w:cstheme="minorBidi"/>
              </w:rPr>
            </w:pPr>
            <w:r w:rsidRPr="31A6510C">
              <w:rPr>
                <w:rFonts w:asciiTheme="minorHAnsi" w:hAnsiTheme="minorHAnsi" w:cstheme="minorBidi"/>
              </w:rPr>
              <w:t>In particular, the panel discussion aims:</w:t>
            </w:r>
          </w:p>
          <w:p w14:paraId="1DE23DD6" w14:textId="54DCD2A1" w:rsidR="00626EAD" w:rsidRPr="00626EAD" w:rsidRDefault="002F57EE" w:rsidP="0018727D">
            <w:pPr>
              <w:pStyle w:val="ListParagraph"/>
              <w:numPr>
                <w:ilvl w:val="0"/>
                <w:numId w:val="2"/>
              </w:numPr>
              <w:spacing w:after="0" w:line="240" w:lineRule="auto"/>
              <w:jc w:val="both"/>
              <w:rPr>
                <w:rFonts w:asciiTheme="minorHAnsi" w:hAnsiTheme="minorHAnsi" w:cstheme="minorBidi"/>
                <w:lang w:val="en-US"/>
              </w:rPr>
            </w:pPr>
            <w:r w:rsidRPr="002F57EE">
              <w:rPr>
                <w:rFonts w:asciiTheme="minorHAnsi" w:hAnsiTheme="minorHAnsi" w:cstheme="minorBidi"/>
              </w:rPr>
              <w:t xml:space="preserve">To highlight how barriers to women’s access to decent work, safe </w:t>
            </w:r>
            <w:r w:rsidR="00F8677C">
              <w:rPr>
                <w:rFonts w:asciiTheme="minorHAnsi" w:hAnsiTheme="minorHAnsi" w:cstheme="minorBidi"/>
              </w:rPr>
              <w:t xml:space="preserve">and healthy </w:t>
            </w:r>
            <w:r w:rsidRPr="002F57EE">
              <w:rPr>
                <w:rFonts w:asciiTheme="minorHAnsi" w:hAnsiTheme="minorHAnsi" w:cstheme="minorBidi"/>
              </w:rPr>
              <w:t>working environments and career progression limit women’s participation and leadership in decision</w:t>
            </w:r>
            <w:r w:rsidRPr="002F57EE">
              <w:rPr>
                <w:rFonts w:ascii="Cambria Math" w:hAnsi="Cambria Math" w:cs="Cambria Math"/>
              </w:rPr>
              <w:t>‑</w:t>
            </w:r>
            <w:r w:rsidRPr="002F57EE">
              <w:rPr>
                <w:rFonts w:asciiTheme="minorHAnsi" w:hAnsiTheme="minorHAnsi" w:cstheme="minorBidi"/>
              </w:rPr>
              <w:t>making</w:t>
            </w:r>
            <w:r w:rsidR="00521CF1">
              <w:rPr>
                <w:rFonts w:asciiTheme="minorHAnsi" w:hAnsiTheme="minorHAnsi" w:cstheme="minorBidi"/>
              </w:rPr>
              <w:t>;</w:t>
            </w:r>
          </w:p>
          <w:p w14:paraId="251E5405" w14:textId="05D1DD84" w:rsidR="00626EAD" w:rsidRPr="00626EAD" w:rsidRDefault="00626EAD" w:rsidP="0018727D">
            <w:pPr>
              <w:pStyle w:val="ListParagraph"/>
              <w:numPr>
                <w:ilvl w:val="0"/>
                <w:numId w:val="2"/>
              </w:numPr>
              <w:spacing w:after="0" w:line="240" w:lineRule="auto"/>
              <w:jc w:val="both"/>
              <w:rPr>
                <w:rFonts w:asciiTheme="minorHAnsi" w:hAnsiTheme="minorHAnsi" w:cstheme="minorBidi"/>
                <w:lang w:val="en-US"/>
              </w:rPr>
            </w:pPr>
            <w:r w:rsidRPr="00626EAD">
              <w:rPr>
                <w:rFonts w:asciiTheme="minorHAnsi" w:hAnsiTheme="minorHAnsi" w:cstheme="minorBidi"/>
                <w:lang w:val="en-US"/>
              </w:rPr>
              <w:t>To examine structural conditions in the world of work, including unpaid care responsibilities, gender</w:t>
            </w:r>
            <w:r w:rsidRPr="00626EAD">
              <w:rPr>
                <w:rFonts w:ascii="Cambria Math" w:hAnsi="Cambria Math" w:cs="Cambria Math"/>
                <w:lang w:val="en-US"/>
              </w:rPr>
              <w:t>‑</w:t>
            </w:r>
            <w:r w:rsidRPr="00626EAD">
              <w:rPr>
                <w:rFonts w:asciiTheme="minorHAnsi" w:hAnsiTheme="minorHAnsi" w:cstheme="minorBidi"/>
                <w:lang w:val="en-US"/>
              </w:rPr>
              <w:t>based violence and harassment, and exclusion from social dialogue, that constrain women</w:t>
            </w:r>
            <w:r w:rsidRPr="00626EAD">
              <w:rPr>
                <w:rFonts w:cs="Calibri"/>
                <w:lang w:val="en-US"/>
              </w:rPr>
              <w:t>’</w:t>
            </w:r>
            <w:r w:rsidRPr="00626EAD">
              <w:rPr>
                <w:rFonts w:asciiTheme="minorHAnsi" w:hAnsiTheme="minorHAnsi" w:cstheme="minorBidi"/>
                <w:lang w:val="en-US"/>
              </w:rPr>
              <w:t>s sustained presence and influence in positions of authority</w:t>
            </w:r>
            <w:r w:rsidR="00521CF1">
              <w:rPr>
                <w:rFonts w:asciiTheme="minorHAnsi" w:hAnsiTheme="minorHAnsi" w:cstheme="minorBidi"/>
                <w:lang w:val="en-US"/>
              </w:rPr>
              <w:t>;</w:t>
            </w:r>
          </w:p>
          <w:p w14:paraId="55DC62DB" w14:textId="5F2BB18C" w:rsidR="00211C05" w:rsidRPr="00211C05" w:rsidRDefault="0071338F" w:rsidP="0018727D">
            <w:pPr>
              <w:pStyle w:val="ListParagraph"/>
              <w:numPr>
                <w:ilvl w:val="0"/>
                <w:numId w:val="2"/>
              </w:numPr>
              <w:spacing w:after="0" w:line="240" w:lineRule="auto"/>
              <w:jc w:val="both"/>
              <w:rPr>
                <w:rFonts w:asciiTheme="minorHAnsi" w:hAnsiTheme="minorHAnsi" w:cstheme="minorBidi"/>
                <w:lang w:val="en-US"/>
              </w:rPr>
            </w:pPr>
            <w:r>
              <w:rPr>
                <w:rFonts w:asciiTheme="minorHAnsi" w:hAnsiTheme="minorHAnsi" w:cstheme="minorBidi"/>
              </w:rPr>
              <w:t>To i</w:t>
            </w:r>
            <w:r w:rsidR="00211C05" w:rsidRPr="31A6510C">
              <w:rPr>
                <w:rFonts w:asciiTheme="minorHAnsi" w:hAnsiTheme="minorHAnsi" w:cstheme="minorBidi"/>
              </w:rPr>
              <w:t xml:space="preserve">dentify promising practices and concrete examples of how these can be </w:t>
            </w:r>
            <w:r w:rsidR="00855B84" w:rsidRPr="31A6510C">
              <w:rPr>
                <w:rFonts w:asciiTheme="minorHAnsi" w:hAnsiTheme="minorHAnsi" w:cstheme="minorBidi"/>
              </w:rPr>
              <w:t>overcome</w:t>
            </w:r>
            <w:r w:rsidR="00521CF1">
              <w:rPr>
                <w:rFonts w:asciiTheme="minorHAnsi" w:hAnsiTheme="minorHAnsi" w:cstheme="minorBidi"/>
              </w:rPr>
              <w:t>;</w:t>
            </w:r>
            <w:r w:rsidR="00211C05" w:rsidRPr="31A6510C">
              <w:rPr>
                <w:rFonts w:asciiTheme="minorHAnsi" w:hAnsiTheme="minorHAnsi" w:cstheme="minorBidi"/>
              </w:rPr>
              <w:t xml:space="preserve">  </w:t>
            </w:r>
          </w:p>
          <w:p w14:paraId="0BA9D48F" w14:textId="2B14904C" w:rsidR="009A390B" w:rsidRPr="009A390B" w:rsidRDefault="009A390B" w:rsidP="5BE82252">
            <w:pPr>
              <w:pStyle w:val="ListParagraph"/>
              <w:numPr>
                <w:ilvl w:val="0"/>
                <w:numId w:val="2"/>
              </w:numPr>
              <w:spacing w:after="0" w:line="240" w:lineRule="auto"/>
              <w:jc w:val="both"/>
              <w:rPr>
                <w:rFonts w:asciiTheme="minorHAnsi" w:hAnsiTheme="minorHAnsi" w:cstheme="minorBidi"/>
                <w:lang w:val="en-US"/>
              </w:rPr>
            </w:pPr>
            <w:r w:rsidRPr="5BE82252">
              <w:rPr>
                <w:rFonts w:asciiTheme="minorHAnsi" w:hAnsiTheme="minorHAnsi" w:cstheme="minorBidi"/>
                <w:lang w:val="en-US"/>
              </w:rPr>
              <w:t xml:space="preserve">To explore how international human rights law and international </w:t>
            </w:r>
            <w:proofErr w:type="spellStart"/>
            <w:r w:rsidRPr="5BE82252">
              <w:rPr>
                <w:rFonts w:asciiTheme="minorHAnsi" w:hAnsiTheme="minorHAnsi" w:cstheme="minorBidi"/>
                <w:lang w:val="en-US"/>
              </w:rPr>
              <w:t>labour</w:t>
            </w:r>
            <w:proofErr w:type="spellEnd"/>
            <w:r w:rsidRPr="5BE82252">
              <w:rPr>
                <w:rFonts w:asciiTheme="minorHAnsi" w:hAnsiTheme="minorHAnsi" w:cstheme="minorBidi"/>
                <w:lang w:val="en-US"/>
              </w:rPr>
              <w:t xml:space="preserve"> standards provide a framework for advancing women’s full, equal and meaningful participation in decision</w:t>
            </w:r>
            <w:r>
              <w:noBreakHyphen/>
            </w:r>
            <w:r w:rsidRPr="5BE82252">
              <w:rPr>
                <w:rFonts w:asciiTheme="minorHAnsi" w:hAnsiTheme="minorHAnsi" w:cstheme="minorBidi"/>
                <w:lang w:val="en-US"/>
              </w:rPr>
              <w:t>making systems</w:t>
            </w:r>
            <w:r w:rsidR="00557603">
              <w:rPr>
                <w:rFonts w:asciiTheme="minorHAnsi" w:hAnsiTheme="minorHAnsi" w:cstheme="minorBidi"/>
                <w:lang w:val="en-US"/>
              </w:rPr>
              <w:t xml:space="preserve">, particularly in </w:t>
            </w:r>
            <w:proofErr w:type="spellStart"/>
            <w:r w:rsidR="00557603">
              <w:rPr>
                <w:rFonts w:asciiTheme="minorHAnsi" w:hAnsiTheme="minorHAnsi" w:cstheme="minorBidi"/>
                <w:lang w:val="en-US"/>
              </w:rPr>
              <w:t>labour</w:t>
            </w:r>
            <w:proofErr w:type="spellEnd"/>
            <w:r w:rsidR="00557603">
              <w:rPr>
                <w:rFonts w:asciiTheme="minorHAnsi" w:hAnsiTheme="minorHAnsi" w:cstheme="minorBidi"/>
                <w:lang w:val="en-US"/>
              </w:rPr>
              <w:t xml:space="preserve"> market</w:t>
            </w:r>
            <w:r w:rsidR="00521CF1" w:rsidRPr="5BE82252">
              <w:rPr>
                <w:rFonts w:asciiTheme="minorHAnsi" w:hAnsiTheme="minorHAnsi" w:cstheme="minorBidi"/>
                <w:lang w:val="en-US"/>
              </w:rPr>
              <w:t>;</w:t>
            </w:r>
          </w:p>
          <w:p w14:paraId="6FEB9367" w14:textId="05F8C0CC" w:rsidR="008052F4" w:rsidRPr="008052F4" w:rsidRDefault="008052F4" w:rsidP="0018727D">
            <w:pPr>
              <w:pStyle w:val="ListParagraph"/>
              <w:numPr>
                <w:ilvl w:val="0"/>
                <w:numId w:val="2"/>
              </w:numPr>
              <w:spacing w:after="0" w:line="240" w:lineRule="auto"/>
              <w:jc w:val="both"/>
              <w:rPr>
                <w:rFonts w:asciiTheme="minorHAnsi" w:hAnsiTheme="minorHAnsi" w:cstheme="minorBidi"/>
                <w:lang w:val="en-US"/>
              </w:rPr>
            </w:pPr>
            <w:r w:rsidRPr="008052F4">
              <w:rPr>
                <w:rFonts w:asciiTheme="minorHAnsi" w:hAnsiTheme="minorHAnsi" w:cstheme="minorBidi"/>
              </w:rPr>
              <w:t xml:space="preserve">To </w:t>
            </w:r>
            <w:r>
              <w:rPr>
                <w:rFonts w:asciiTheme="minorHAnsi" w:hAnsiTheme="minorHAnsi" w:cstheme="minorBidi"/>
              </w:rPr>
              <w:t>explore</w:t>
            </w:r>
            <w:r w:rsidRPr="008052F4">
              <w:rPr>
                <w:rFonts w:asciiTheme="minorHAnsi" w:hAnsiTheme="minorHAnsi" w:cstheme="minorBidi"/>
              </w:rPr>
              <w:t xml:space="preserve"> how States, international organizations and other relevant stakeholders can strengthen the realization of women’s right to work as part of broader efforts to promote inclusive, representative and effective decision</w:t>
            </w:r>
            <w:r w:rsidRPr="008052F4">
              <w:rPr>
                <w:rFonts w:ascii="Cambria Math" w:hAnsi="Cambria Math" w:cs="Cambria Math"/>
              </w:rPr>
              <w:t>‑</w:t>
            </w:r>
            <w:r w:rsidRPr="008052F4">
              <w:rPr>
                <w:rFonts w:asciiTheme="minorHAnsi" w:hAnsiTheme="minorHAnsi" w:cstheme="minorBidi"/>
              </w:rPr>
              <w:t>making</w:t>
            </w:r>
            <w:r w:rsidR="00521CF1">
              <w:rPr>
                <w:rFonts w:asciiTheme="minorHAnsi" w:hAnsiTheme="minorHAnsi" w:cstheme="minorBidi"/>
              </w:rPr>
              <w:t>;</w:t>
            </w:r>
          </w:p>
          <w:p w14:paraId="707320C5" w14:textId="0A878780" w:rsidR="00E3110A" w:rsidRPr="00D451E6" w:rsidRDefault="0071338F" w:rsidP="00D451E6">
            <w:pPr>
              <w:pStyle w:val="ListParagraph"/>
              <w:numPr>
                <w:ilvl w:val="0"/>
                <w:numId w:val="2"/>
              </w:numPr>
              <w:spacing w:after="0" w:line="240" w:lineRule="auto"/>
              <w:jc w:val="both"/>
              <w:rPr>
                <w:rFonts w:asciiTheme="minorHAnsi" w:hAnsiTheme="minorHAnsi" w:cstheme="minorBidi"/>
                <w:lang w:val="en-US"/>
              </w:rPr>
            </w:pPr>
            <w:r>
              <w:rPr>
                <w:rFonts w:asciiTheme="minorHAnsi" w:hAnsiTheme="minorHAnsi" w:cstheme="minorBidi"/>
              </w:rPr>
              <w:t>To d</w:t>
            </w:r>
            <w:r w:rsidR="00546F8C" w:rsidRPr="31A6510C">
              <w:rPr>
                <w:rFonts w:asciiTheme="minorHAnsi" w:hAnsiTheme="minorHAnsi" w:cstheme="minorBidi"/>
              </w:rPr>
              <w:t xml:space="preserve">iscuss how the </w:t>
            </w:r>
            <w:r w:rsidR="00D451E6">
              <w:rPr>
                <w:rFonts w:asciiTheme="minorHAnsi" w:hAnsiTheme="minorHAnsi" w:cstheme="minorBidi"/>
              </w:rPr>
              <w:t xml:space="preserve">Human Rights </w:t>
            </w:r>
            <w:r w:rsidR="00546F8C" w:rsidRPr="31A6510C">
              <w:rPr>
                <w:rFonts w:asciiTheme="minorHAnsi" w:hAnsiTheme="minorHAnsi" w:cstheme="minorBidi"/>
              </w:rPr>
              <w:t>Council</w:t>
            </w:r>
            <w:r w:rsidR="000F457E" w:rsidRPr="31A6510C">
              <w:rPr>
                <w:rFonts w:asciiTheme="minorHAnsi" w:hAnsiTheme="minorHAnsi" w:cstheme="minorBidi"/>
              </w:rPr>
              <w:t xml:space="preserve">, </w:t>
            </w:r>
            <w:r w:rsidR="00546F8C" w:rsidRPr="31A6510C">
              <w:rPr>
                <w:rFonts w:asciiTheme="minorHAnsi" w:hAnsiTheme="minorHAnsi" w:cstheme="minorBidi"/>
              </w:rPr>
              <w:t xml:space="preserve">its mechanisms </w:t>
            </w:r>
            <w:r w:rsidR="000F457E" w:rsidRPr="31A6510C">
              <w:rPr>
                <w:rFonts w:asciiTheme="minorHAnsi" w:hAnsiTheme="minorHAnsi" w:cstheme="minorBidi"/>
              </w:rPr>
              <w:t xml:space="preserve">and treaty bodies </w:t>
            </w:r>
            <w:r w:rsidR="00546F8C" w:rsidRPr="31A6510C">
              <w:rPr>
                <w:rFonts w:asciiTheme="minorHAnsi" w:hAnsiTheme="minorHAnsi" w:cstheme="minorBidi"/>
              </w:rPr>
              <w:t xml:space="preserve">can support States </w:t>
            </w:r>
            <w:r w:rsidR="004D6DF3" w:rsidRPr="004D6DF3">
              <w:rPr>
                <w:rFonts w:asciiTheme="minorHAnsi" w:hAnsiTheme="minorHAnsi" w:cstheme="minorBidi"/>
              </w:rPr>
              <w:t>in advancing women’s right to work as a foundation for women’s equal participation and leadership in decision</w:t>
            </w:r>
            <w:r w:rsidR="004D6DF3" w:rsidRPr="004D6DF3">
              <w:rPr>
                <w:rFonts w:asciiTheme="minorHAnsi" w:hAnsiTheme="minorHAnsi" w:cstheme="minorBidi"/>
              </w:rPr>
              <w:noBreakHyphen/>
              <w:t>making</w:t>
            </w:r>
            <w:r w:rsidR="000A51B9">
              <w:rPr>
                <w:rFonts w:asciiTheme="minorHAnsi" w:hAnsiTheme="minorHAnsi" w:cstheme="minorBidi"/>
              </w:rPr>
              <w:t>.</w:t>
            </w:r>
          </w:p>
          <w:p w14:paraId="02B1C5F2" w14:textId="74EDAF73" w:rsidR="00D451E6" w:rsidRPr="00E3110A" w:rsidRDefault="00D451E6" w:rsidP="00D451E6">
            <w:pPr>
              <w:pStyle w:val="ListParagraph"/>
              <w:spacing w:after="0" w:line="240" w:lineRule="auto"/>
              <w:ind w:left="360"/>
              <w:jc w:val="both"/>
              <w:rPr>
                <w:rFonts w:asciiTheme="minorHAnsi" w:hAnsiTheme="minorHAnsi" w:cstheme="minorBidi"/>
                <w:lang w:val="en-US"/>
              </w:rPr>
            </w:pPr>
          </w:p>
        </w:tc>
      </w:tr>
      <w:tr w:rsidR="005C78F6" w:rsidRPr="003F65AB" w14:paraId="08FDFC8C" w14:textId="77777777" w:rsidTr="5BE82252">
        <w:tc>
          <w:tcPr>
            <w:tcW w:w="1616" w:type="dxa"/>
          </w:tcPr>
          <w:p w14:paraId="19492259" w14:textId="77777777" w:rsidR="005C78F6" w:rsidRPr="00B9542A" w:rsidRDefault="005C78F6" w:rsidP="0018727D">
            <w:pPr>
              <w:spacing w:after="120" w:line="240" w:lineRule="auto"/>
              <w:rPr>
                <w:rFonts w:asciiTheme="minorHAnsi" w:hAnsiTheme="minorHAnsi" w:cstheme="minorHAnsi"/>
                <w:b/>
              </w:rPr>
            </w:pPr>
            <w:r w:rsidRPr="00B9542A">
              <w:rPr>
                <w:rFonts w:asciiTheme="minorHAnsi" w:hAnsiTheme="minorHAnsi" w:cstheme="minorHAnsi"/>
                <w:b/>
              </w:rPr>
              <w:t xml:space="preserve">Chair: </w:t>
            </w:r>
          </w:p>
        </w:tc>
        <w:tc>
          <w:tcPr>
            <w:tcW w:w="8590" w:type="dxa"/>
          </w:tcPr>
          <w:p w14:paraId="25B76DDA" w14:textId="7A72A8D9" w:rsidR="005C78F6" w:rsidRPr="00B9542A" w:rsidRDefault="00D862B3" w:rsidP="000E5A9D">
            <w:pPr>
              <w:spacing w:after="120" w:line="240" w:lineRule="auto"/>
              <w:ind w:left="8" w:hanging="8"/>
              <w:rPr>
                <w:rFonts w:asciiTheme="minorHAnsi" w:hAnsiTheme="minorHAnsi" w:cstheme="minorHAnsi"/>
              </w:rPr>
            </w:pPr>
            <w:r w:rsidRPr="00B9542A">
              <w:rPr>
                <w:b/>
                <w:bCs/>
              </w:rPr>
              <w:t xml:space="preserve">H.E. Ms. </w:t>
            </w:r>
            <w:r w:rsidRPr="00B9542A">
              <w:rPr>
                <w:rFonts w:asciiTheme="minorHAnsi" w:hAnsiTheme="minorHAnsi" w:cstheme="minorHAnsi"/>
                <w:b/>
                <w:bCs/>
              </w:rPr>
              <w:t>Riia Salsa-</w:t>
            </w:r>
            <w:proofErr w:type="spellStart"/>
            <w:r w:rsidRPr="00B9542A">
              <w:rPr>
                <w:rFonts w:asciiTheme="minorHAnsi" w:hAnsiTheme="minorHAnsi" w:cstheme="minorHAnsi"/>
                <w:b/>
                <w:bCs/>
              </w:rPr>
              <w:t>Audiffren</w:t>
            </w:r>
            <w:proofErr w:type="spellEnd"/>
            <w:r w:rsidRPr="00B9542A">
              <w:rPr>
                <w:rFonts w:asciiTheme="minorHAnsi" w:hAnsiTheme="minorHAnsi" w:cstheme="minorHAnsi"/>
                <w:b/>
                <w:bCs/>
              </w:rPr>
              <w:t xml:space="preserve">, </w:t>
            </w:r>
            <w:r w:rsidRPr="00B9542A">
              <w:rPr>
                <w:rFonts w:asciiTheme="minorHAnsi" w:hAnsiTheme="minorHAnsi" w:cstheme="minorHAnsi"/>
              </w:rPr>
              <w:t>Vice-President of the Human Rights Council</w:t>
            </w:r>
          </w:p>
        </w:tc>
      </w:tr>
      <w:tr w:rsidR="005C78F6" w:rsidRPr="003F65AB" w14:paraId="75C5CF23" w14:textId="77777777" w:rsidTr="5BE82252">
        <w:tc>
          <w:tcPr>
            <w:tcW w:w="1616" w:type="dxa"/>
          </w:tcPr>
          <w:p w14:paraId="12CE2AC1" w14:textId="17B35E70" w:rsidR="005C78F6" w:rsidRPr="00B9542A" w:rsidRDefault="005C78F6" w:rsidP="0018727D">
            <w:pPr>
              <w:spacing w:after="120" w:line="240" w:lineRule="auto"/>
              <w:rPr>
                <w:rFonts w:asciiTheme="minorHAnsi" w:hAnsiTheme="minorHAnsi" w:cstheme="minorHAnsi"/>
                <w:b/>
              </w:rPr>
            </w:pPr>
            <w:r w:rsidRPr="00B9542A">
              <w:rPr>
                <w:rFonts w:asciiTheme="minorHAnsi" w:hAnsiTheme="minorHAnsi" w:cstheme="minorHAnsi"/>
                <w:b/>
              </w:rPr>
              <w:t>Opening statement</w:t>
            </w:r>
            <w:r w:rsidR="003D4203">
              <w:rPr>
                <w:rFonts w:asciiTheme="minorHAnsi" w:hAnsiTheme="minorHAnsi" w:cstheme="minorHAnsi"/>
                <w:b/>
              </w:rPr>
              <w:t>s</w:t>
            </w:r>
            <w:r w:rsidRPr="00B9542A">
              <w:rPr>
                <w:rFonts w:asciiTheme="minorHAnsi" w:hAnsiTheme="minorHAnsi" w:cstheme="minorHAnsi"/>
                <w:b/>
              </w:rPr>
              <w:t xml:space="preserve">: </w:t>
            </w:r>
          </w:p>
        </w:tc>
        <w:tc>
          <w:tcPr>
            <w:tcW w:w="8590" w:type="dxa"/>
          </w:tcPr>
          <w:p w14:paraId="27C56898" w14:textId="3C296EAA" w:rsidR="005C78F6" w:rsidRDefault="003D4203" w:rsidP="00B45238">
            <w:pPr>
              <w:spacing w:after="120" w:line="240" w:lineRule="auto"/>
              <w:rPr>
                <w:rFonts w:asciiTheme="minorHAnsi" w:hAnsiTheme="minorHAnsi" w:cstheme="minorHAnsi"/>
              </w:rPr>
            </w:pPr>
            <w:r w:rsidRPr="006C7EFD">
              <w:rPr>
                <w:rFonts w:asciiTheme="minorHAnsi" w:hAnsiTheme="minorHAnsi" w:cstheme="minorHAnsi"/>
                <w:b/>
                <w:bCs/>
              </w:rPr>
              <w:t>Ms. Peggy Hicks</w:t>
            </w:r>
            <w:r>
              <w:rPr>
                <w:rFonts w:asciiTheme="minorHAnsi" w:hAnsiTheme="minorHAnsi" w:cstheme="minorHAnsi"/>
              </w:rPr>
              <w:t xml:space="preserve">, </w:t>
            </w:r>
            <w:r w:rsidR="00E77954">
              <w:rPr>
                <w:rFonts w:asciiTheme="minorHAnsi" w:hAnsiTheme="minorHAnsi" w:cstheme="minorHAnsi"/>
              </w:rPr>
              <w:t xml:space="preserve">Director of the </w:t>
            </w:r>
            <w:r w:rsidRPr="00C06573">
              <w:rPr>
                <w:rFonts w:asciiTheme="minorHAnsi" w:hAnsiTheme="minorHAnsi" w:cstheme="minorHAnsi"/>
              </w:rPr>
              <w:t>Thematic and Special Procedures Division</w:t>
            </w:r>
            <w:r w:rsidR="00E77954">
              <w:rPr>
                <w:rFonts w:asciiTheme="minorHAnsi" w:hAnsiTheme="minorHAnsi" w:cstheme="minorHAnsi"/>
              </w:rPr>
              <w:t>, OHCHR</w:t>
            </w:r>
            <w:r>
              <w:rPr>
                <w:rFonts w:asciiTheme="minorHAnsi" w:hAnsiTheme="minorHAnsi" w:cstheme="minorHAnsi"/>
              </w:rPr>
              <w:t xml:space="preserve"> </w:t>
            </w:r>
          </w:p>
          <w:p w14:paraId="0A4AE1D1" w14:textId="7388241A" w:rsidR="00667A16" w:rsidRPr="00B9542A" w:rsidRDefault="00667A16" w:rsidP="006C7EFD">
            <w:pPr>
              <w:spacing w:after="120" w:line="240" w:lineRule="auto"/>
              <w:jc w:val="both"/>
              <w:rPr>
                <w:rFonts w:asciiTheme="minorHAnsi" w:hAnsiTheme="minorHAnsi" w:cstheme="minorHAnsi"/>
              </w:rPr>
            </w:pPr>
            <w:r w:rsidRPr="006C7EFD">
              <w:rPr>
                <w:rFonts w:asciiTheme="minorHAnsi" w:hAnsiTheme="minorHAnsi" w:cstheme="minorHAnsi"/>
                <w:b/>
                <w:bCs/>
              </w:rPr>
              <w:t xml:space="preserve">Ms. </w:t>
            </w:r>
            <w:r w:rsidR="000B0D82">
              <w:rPr>
                <w:rFonts w:asciiTheme="minorHAnsi" w:hAnsiTheme="minorHAnsi" w:cstheme="minorHAnsi"/>
                <w:b/>
                <w:bCs/>
              </w:rPr>
              <w:t>Sofia Cal</w:t>
            </w:r>
            <w:r w:rsidR="0052090C">
              <w:rPr>
                <w:rFonts w:asciiTheme="minorHAnsi" w:hAnsiTheme="minorHAnsi" w:cstheme="minorHAnsi"/>
                <w:b/>
                <w:bCs/>
              </w:rPr>
              <w:t>l</w:t>
            </w:r>
            <w:r w:rsidR="0004490A">
              <w:rPr>
                <w:rFonts w:asciiTheme="minorHAnsi" w:hAnsiTheme="minorHAnsi" w:cstheme="minorHAnsi"/>
                <w:b/>
                <w:bCs/>
              </w:rPr>
              <w:t>torp</w:t>
            </w:r>
            <w:r w:rsidRPr="006C7EFD">
              <w:rPr>
                <w:rFonts w:asciiTheme="minorHAnsi" w:hAnsiTheme="minorHAnsi" w:cstheme="minorHAnsi"/>
              </w:rPr>
              <w:t xml:space="preserve">, </w:t>
            </w:r>
            <w:r w:rsidR="007F5C4A" w:rsidRPr="007F5C4A">
              <w:rPr>
                <w:rFonts w:asciiTheme="minorHAnsi" w:hAnsiTheme="minorHAnsi" w:cstheme="minorHAnsi"/>
              </w:rPr>
              <w:t>Director of UN Women Geneva and Chief of Humanitarian Action</w:t>
            </w:r>
            <w:r w:rsidR="007F5C4A">
              <w:rPr>
                <w:rFonts w:asciiTheme="minorHAnsi" w:hAnsiTheme="minorHAnsi" w:cstheme="minorHAnsi"/>
              </w:rPr>
              <w:t xml:space="preserve"> </w:t>
            </w:r>
          </w:p>
        </w:tc>
      </w:tr>
      <w:tr w:rsidR="005C78F6" w:rsidRPr="003F65AB" w14:paraId="150FBDDC" w14:textId="77777777" w:rsidTr="5BE82252">
        <w:tc>
          <w:tcPr>
            <w:tcW w:w="1616" w:type="dxa"/>
          </w:tcPr>
          <w:p w14:paraId="40A8651B" w14:textId="34BA1E8A" w:rsidR="005C78F6" w:rsidRPr="008C3403" w:rsidRDefault="005C78F6" w:rsidP="0018727D">
            <w:pPr>
              <w:spacing w:after="120" w:line="240" w:lineRule="auto"/>
              <w:rPr>
                <w:rFonts w:asciiTheme="minorHAnsi" w:hAnsiTheme="minorHAnsi" w:cstheme="minorHAnsi"/>
                <w:b/>
              </w:rPr>
            </w:pPr>
            <w:r w:rsidRPr="008C3403">
              <w:rPr>
                <w:rFonts w:asciiTheme="minorHAnsi" w:hAnsiTheme="minorHAnsi" w:cstheme="minorHAnsi"/>
                <w:b/>
              </w:rPr>
              <w:t>Panellists:</w:t>
            </w:r>
          </w:p>
        </w:tc>
        <w:tc>
          <w:tcPr>
            <w:tcW w:w="8590" w:type="dxa"/>
          </w:tcPr>
          <w:p w14:paraId="07B2CDE6" w14:textId="77777777" w:rsidR="006C7EFD" w:rsidRPr="00D70E67" w:rsidRDefault="006C7EFD" w:rsidP="006C7EFD">
            <w:pPr>
              <w:pStyle w:val="ListParagraph"/>
              <w:numPr>
                <w:ilvl w:val="0"/>
                <w:numId w:val="29"/>
              </w:numPr>
              <w:spacing w:after="120" w:line="240" w:lineRule="auto"/>
              <w:jc w:val="both"/>
              <w:rPr>
                <w:rFonts w:asciiTheme="minorHAnsi" w:hAnsiTheme="minorHAnsi" w:cstheme="minorBidi"/>
              </w:rPr>
            </w:pPr>
            <w:r w:rsidRPr="00F366EA">
              <w:rPr>
                <w:rFonts w:asciiTheme="minorHAnsi" w:hAnsiTheme="minorHAnsi" w:cstheme="minorHAnsi"/>
                <w:b/>
                <w:bCs/>
              </w:rPr>
              <w:t>Ms Chidi King</w:t>
            </w:r>
            <w:r>
              <w:rPr>
                <w:rFonts w:asciiTheme="minorHAnsi" w:hAnsiTheme="minorHAnsi" w:cstheme="minorHAnsi"/>
              </w:rPr>
              <w:t xml:space="preserve">, </w:t>
            </w:r>
            <w:r w:rsidRPr="00CC5E3F">
              <w:rPr>
                <w:rFonts w:asciiTheme="minorHAnsi" w:hAnsiTheme="minorHAnsi" w:cstheme="minorHAnsi"/>
              </w:rPr>
              <w:t>Chief of the Gender, Equality, Diversity and Inclusion Branch</w:t>
            </w:r>
            <w:r>
              <w:rPr>
                <w:rFonts w:asciiTheme="minorHAnsi" w:hAnsiTheme="minorHAnsi" w:cstheme="minorHAnsi"/>
              </w:rPr>
              <w:t>, International Labour Organization (ILO)</w:t>
            </w:r>
          </w:p>
          <w:p w14:paraId="4E3F7B34" w14:textId="77777777" w:rsidR="006E71C0" w:rsidRDefault="006E71C0" w:rsidP="006E71C0">
            <w:pPr>
              <w:pStyle w:val="ListParagraph"/>
              <w:numPr>
                <w:ilvl w:val="0"/>
                <w:numId w:val="29"/>
              </w:numPr>
              <w:rPr>
                <w:rFonts w:asciiTheme="minorHAnsi" w:hAnsiTheme="minorHAnsi" w:cstheme="minorBidi"/>
              </w:rPr>
            </w:pPr>
            <w:r w:rsidRPr="00F366EA">
              <w:rPr>
                <w:rFonts w:asciiTheme="minorHAnsi" w:hAnsiTheme="minorHAnsi" w:cstheme="minorBidi"/>
                <w:b/>
                <w:bCs/>
              </w:rPr>
              <w:t>Ms. Wafa Asri</w:t>
            </w:r>
            <w:r w:rsidRPr="007C6250">
              <w:rPr>
                <w:rFonts w:asciiTheme="minorHAnsi" w:hAnsiTheme="minorHAnsi" w:cstheme="minorBidi"/>
              </w:rPr>
              <w:t xml:space="preserve">, </w:t>
            </w:r>
            <w:r>
              <w:rPr>
                <w:rFonts w:asciiTheme="minorHAnsi" w:hAnsiTheme="minorHAnsi" w:cstheme="minorBidi"/>
              </w:rPr>
              <w:t>S</w:t>
            </w:r>
            <w:r w:rsidRPr="007C6250">
              <w:rPr>
                <w:rFonts w:asciiTheme="minorHAnsi" w:hAnsiTheme="minorHAnsi" w:cstheme="minorBidi"/>
              </w:rPr>
              <w:t>ecretary-General at the Ministry of Employment</w:t>
            </w:r>
            <w:r>
              <w:rPr>
                <w:rFonts w:asciiTheme="minorHAnsi" w:hAnsiTheme="minorHAnsi" w:cstheme="minorBidi"/>
              </w:rPr>
              <w:t>, Morrocco</w:t>
            </w:r>
          </w:p>
          <w:p w14:paraId="29614E90" w14:textId="4DBFF3F7" w:rsidR="00C26BDA" w:rsidRPr="00F366EA" w:rsidRDefault="00812437" w:rsidP="00F366EA">
            <w:pPr>
              <w:pStyle w:val="ListParagraph"/>
              <w:numPr>
                <w:ilvl w:val="0"/>
                <w:numId w:val="29"/>
              </w:numPr>
              <w:rPr>
                <w:rFonts w:asciiTheme="minorHAnsi" w:hAnsiTheme="minorHAnsi" w:cstheme="minorBidi"/>
              </w:rPr>
            </w:pPr>
            <w:r w:rsidRPr="00F366EA">
              <w:rPr>
                <w:rFonts w:asciiTheme="minorHAnsi" w:hAnsiTheme="minorHAnsi" w:cstheme="minorBidi"/>
                <w:b/>
                <w:bCs/>
              </w:rPr>
              <w:t>H.E. Ms. Caroline Ziadeh</w:t>
            </w:r>
            <w:r w:rsidRPr="007C6250">
              <w:rPr>
                <w:rFonts w:asciiTheme="minorHAnsi" w:hAnsiTheme="minorHAnsi" w:cstheme="minorBidi"/>
              </w:rPr>
              <w:t>, Permanent Representative of Lebanon to the United Nations Office at Geneva</w:t>
            </w:r>
          </w:p>
        </w:tc>
      </w:tr>
      <w:tr w:rsidR="005C78F6" w:rsidRPr="003F65AB" w14:paraId="7BD53753" w14:textId="77777777" w:rsidTr="5BE82252">
        <w:tc>
          <w:tcPr>
            <w:tcW w:w="1616" w:type="dxa"/>
          </w:tcPr>
          <w:p w14:paraId="17F368B5" w14:textId="77777777" w:rsidR="005C78F6" w:rsidRPr="003F65AB" w:rsidRDefault="005C78F6" w:rsidP="0018727D">
            <w:pPr>
              <w:spacing w:after="0" w:line="240" w:lineRule="auto"/>
              <w:rPr>
                <w:rFonts w:asciiTheme="minorHAnsi" w:hAnsiTheme="minorHAnsi" w:cstheme="minorHAnsi"/>
                <w:b/>
              </w:rPr>
            </w:pPr>
            <w:r w:rsidRPr="003F65AB">
              <w:rPr>
                <w:rFonts w:asciiTheme="minorHAnsi" w:hAnsiTheme="minorHAnsi" w:cstheme="minorHAnsi"/>
                <w:b/>
              </w:rPr>
              <w:t>Outcome:</w:t>
            </w:r>
          </w:p>
        </w:tc>
        <w:tc>
          <w:tcPr>
            <w:tcW w:w="8590" w:type="dxa"/>
          </w:tcPr>
          <w:p w14:paraId="70049BAD" w14:textId="5D87B5C2" w:rsidR="005C78F6" w:rsidRPr="009168D0" w:rsidRDefault="005268B5" w:rsidP="0018727D">
            <w:pPr>
              <w:spacing w:after="120" w:line="240" w:lineRule="auto"/>
              <w:jc w:val="both"/>
              <w:rPr>
                <w:rFonts w:asciiTheme="minorHAnsi" w:hAnsiTheme="minorHAnsi" w:cstheme="minorBidi"/>
              </w:rPr>
            </w:pPr>
            <w:r>
              <w:rPr>
                <w:rFonts w:asciiTheme="minorHAnsi" w:hAnsiTheme="minorHAnsi" w:cstheme="minorBidi"/>
              </w:rPr>
              <w:t>T</w:t>
            </w:r>
            <w:r w:rsidR="005B6924" w:rsidRPr="009168D0">
              <w:rPr>
                <w:rFonts w:asciiTheme="minorHAnsi" w:hAnsiTheme="minorHAnsi" w:cstheme="minorBidi"/>
              </w:rPr>
              <w:t>he Office of the United Nations High Commissioner for Human Rights (</w:t>
            </w:r>
            <w:r w:rsidR="005C78F6" w:rsidRPr="009168D0">
              <w:rPr>
                <w:rFonts w:asciiTheme="minorHAnsi" w:hAnsiTheme="minorHAnsi" w:cstheme="minorBidi"/>
              </w:rPr>
              <w:t>OHCHR</w:t>
            </w:r>
            <w:r w:rsidR="005B6924" w:rsidRPr="009168D0">
              <w:rPr>
                <w:rFonts w:asciiTheme="minorHAnsi" w:hAnsiTheme="minorHAnsi" w:cstheme="minorBidi"/>
              </w:rPr>
              <w:t>)</w:t>
            </w:r>
            <w:r>
              <w:rPr>
                <w:rFonts w:asciiTheme="minorHAnsi" w:hAnsiTheme="minorHAnsi" w:cstheme="minorBidi"/>
              </w:rPr>
              <w:t xml:space="preserve"> will prepare </w:t>
            </w:r>
            <w:r w:rsidR="00060094">
              <w:rPr>
                <w:rFonts w:asciiTheme="minorHAnsi" w:hAnsiTheme="minorHAnsi" w:cstheme="minorBidi"/>
              </w:rPr>
              <w:t>a</w:t>
            </w:r>
            <w:r w:rsidRPr="009168D0">
              <w:rPr>
                <w:rFonts w:asciiTheme="minorHAnsi" w:hAnsiTheme="minorHAnsi" w:cstheme="minorBidi"/>
              </w:rPr>
              <w:t xml:space="preserve"> summary report on the discussion</w:t>
            </w:r>
            <w:r w:rsidR="005C78F6" w:rsidRPr="009168D0">
              <w:rPr>
                <w:rFonts w:asciiTheme="minorHAnsi" w:hAnsiTheme="minorHAnsi" w:cstheme="minorBidi"/>
              </w:rPr>
              <w:t>.</w:t>
            </w:r>
          </w:p>
        </w:tc>
      </w:tr>
      <w:tr w:rsidR="005C78F6" w:rsidRPr="003F65AB" w14:paraId="4FB70327" w14:textId="77777777" w:rsidTr="5BE82252">
        <w:tc>
          <w:tcPr>
            <w:tcW w:w="1616" w:type="dxa"/>
          </w:tcPr>
          <w:p w14:paraId="3DB8788B" w14:textId="77777777" w:rsidR="005C78F6" w:rsidRPr="003F65AB" w:rsidRDefault="005C78F6" w:rsidP="0018727D">
            <w:pPr>
              <w:spacing w:after="0" w:line="240" w:lineRule="auto"/>
              <w:rPr>
                <w:rFonts w:asciiTheme="minorHAnsi" w:hAnsiTheme="minorHAnsi" w:cstheme="minorHAnsi"/>
                <w:b/>
              </w:rPr>
            </w:pPr>
            <w:r w:rsidRPr="003F65AB">
              <w:rPr>
                <w:rFonts w:asciiTheme="minorHAnsi" w:hAnsiTheme="minorHAnsi" w:cstheme="minorHAnsi"/>
                <w:b/>
              </w:rPr>
              <w:t xml:space="preserve">Mandate: </w:t>
            </w:r>
          </w:p>
        </w:tc>
        <w:tc>
          <w:tcPr>
            <w:tcW w:w="8590" w:type="dxa"/>
          </w:tcPr>
          <w:p w14:paraId="4F4158DA" w14:textId="51CE6A29" w:rsidR="00E23268" w:rsidRPr="009168D0" w:rsidRDefault="005C78F6" w:rsidP="00AE2DE2">
            <w:pPr>
              <w:spacing w:after="120" w:line="240" w:lineRule="auto"/>
              <w:jc w:val="both"/>
              <w:rPr>
                <w:rFonts w:asciiTheme="minorHAnsi" w:hAnsiTheme="minorHAnsi" w:cstheme="minorBidi"/>
              </w:rPr>
            </w:pPr>
            <w:r w:rsidRPr="009168D0">
              <w:rPr>
                <w:rFonts w:asciiTheme="minorHAnsi" w:hAnsiTheme="minorHAnsi" w:cstheme="minorBidi"/>
              </w:rPr>
              <w:t xml:space="preserve">In its </w:t>
            </w:r>
            <w:hyperlink r:id="rId12">
              <w:r w:rsidRPr="009168D0">
                <w:rPr>
                  <w:rStyle w:val="Hyperlink"/>
                  <w:rFonts w:asciiTheme="minorHAnsi" w:hAnsiTheme="minorHAnsi" w:cstheme="minorBidi"/>
                </w:rPr>
                <w:t>resolution 6/30</w:t>
              </w:r>
            </w:hyperlink>
            <w:r w:rsidRPr="009168D0">
              <w:rPr>
                <w:rFonts w:asciiTheme="minorHAnsi" w:hAnsiTheme="minorHAnsi" w:cstheme="minorBidi"/>
              </w:rPr>
              <w:t xml:space="preserve">, the Human Rights Council reaffirmed the principle of gender equality and the need for the full implementation of the human rights of women and decided to hold an annual full-day discussion on the human rights of women. </w:t>
            </w:r>
            <w:r w:rsidR="00EA2DB0" w:rsidRPr="009168D0">
              <w:rPr>
                <w:rFonts w:asciiTheme="minorHAnsi" w:hAnsiTheme="minorHAnsi" w:cstheme="minorBidi"/>
              </w:rPr>
              <w:t xml:space="preserve">In its </w:t>
            </w:r>
            <w:hyperlink r:id="rId13">
              <w:r w:rsidR="00EA2DB0" w:rsidRPr="009168D0">
                <w:rPr>
                  <w:rStyle w:val="Hyperlink"/>
                  <w:rFonts w:asciiTheme="minorHAnsi" w:hAnsiTheme="minorHAnsi" w:cstheme="minorBidi"/>
                </w:rPr>
                <w:t>resolution 58/15</w:t>
              </w:r>
            </w:hyperlink>
            <w:r w:rsidR="00EA2DB0" w:rsidRPr="009168D0">
              <w:rPr>
                <w:rFonts w:asciiTheme="minorHAnsi" w:hAnsiTheme="minorHAnsi" w:cstheme="minorBidi"/>
              </w:rPr>
              <w:t xml:space="preserve">, the Council decided to commemorate the International Day of Women in Diplomacy during one panel at the annual full-day discussion on the human rights of women, to be held during the fifty-ninth, the sixty-second and the sixty-fifth sessions of the Human Rights Council, including </w:t>
            </w:r>
            <w:r w:rsidR="00EA2DB0" w:rsidRPr="009168D0">
              <w:rPr>
                <w:rFonts w:asciiTheme="minorHAnsi" w:hAnsiTheme="minorHAnsi" w:cstheme="minorBidi"/>
              </w:rPr>
              <w:lastRenderedPageBreak/>
              <w:t xml:space="preserve">with discussions on the elimination of discrimination and structural barriers that hinder women’s participation and representation in decision-making. </w:t>
            </w:r>
          </w:p>
          <w:p w14:paraId="2333B2F4" w14:textId="538DA023" w:rsidR="00AF14BE" w:rsidRPr="00FC7363" w:rsidRDefault="005C78F6" w:rsidP="00AE2DE2">
            <w:pPr>
              <w:spacing w:after="120" w:line="240" w:lineRule="auto"/>
              <w:jc w:val="both"/>
              <w:rPr>
                <w:rFonts w:asciiTheme="minorHAnsi" w:hAnsiTheme="minorHAnsi" w:cstheme="minorBidi"/>
              </w:rPr>
            </w:pPr>
            <w:r w:rsidRPr="009168D0">
              <w:rPr>
                <w:rFonts w:asciiTheme="minorHAnsi" w:hAnsiTheme="minorHAnsi" w:cstheme="minorBidi"/>
              </w:rPr>
              <w:t xml:space="preserve">The second </w:t>
            </w:r>
            <w:r w:rsidR="00681686" w:rsidRPr="009168D0">
              <w:rPr>
                <w:rFonts w:asciiTheme="minorHAnsi" w:hAnsiTheme="minorHAnsi" w:cstheme="minorBidi"/>
              </w:rPr>
              <w:t>(i.e.</w:t>
            </w:r>
            <w:r w:rsidR="00725AA8" w:rsidRPr="009168D0">
              <w:rPr>
                <w:rFonts w:asciiTheme="minorHAnsi" w:hAnsiTheme="minorHAnsi" w:cstheme="minorBidi"/>
              </w:rPr>
              <w:t>,</w:t>
            </w:r>
            <w:r w:rsidR="00681686" w:rsidRPr="009168D0">
              <w:rPr>
                <w:rFonts w:asciiTheme="minorHAnsi" w:hAnsiTheme="minorHAnsi" w:cstheme="minorBidi"/>
              </w:rPr>
              <w:t xml:space="preserve"> afternoon) </w:t>
            </w:r>
            <w:r w:rsidRPr="009168D0">
              <w:rPr>
                <w:rFonts w:asciiTheme="minorHAnsi" w:hAnsiTheme="minorHAnsi" w:cstheme="minorBidi"/>
              </w:rPr>
              <w:t>panel of the 202</w:t>
            </w:r>
            <w:r w:rsidR="00AB587B" w:rsidRPr="009168D0">
              <w:rPr>
                <w:rFonts w:asciiTheme="minorHAnsi" w:hAnsiTheme="minorHAnsi" w:cstheme="minorBidi"/>
              </w:rPr>
              <w:t>6</w:t>
            </w:r>
            <w:r w:rsidRPr="009168D0">
              <w:rPr>
                <w:rFonts w:asciiTheme="minorHAnsi" w:hAnsiTheme="minorHAnsi" w:cstheme="minorBidi"/>
              </w:rPr>
              <w:t xml:space="preserve"> annual </w:t>
            </w:r>
            <w:r w:rsidR="00E23268" w:rsidRPr="009168D0">
              <w:rPr>
                <w:rFonts w:asciiTheme="minorHAnsi" w:hAnsiTheme="minorHAnsi" w:cstheme="minorBidi"/>
              </w:rPr>
              <w:t>full</w:t>
            </w:r>
            <w:r w:rsidR="000D4285" w:rsidRPr="009168D0">
              <w:rPr>
                <w:rFonts w:asciiTheme="minorHAnsi" w:hAnsiTheme="minorHAnsi" w:cstheme="minorBidi"/>
              </w:rPr>
              <w:t>-</w:t>
            </w:r>
            <w:r w:rsidR="00E23268" w:rsidRPr="009168D0">
              <w:rPr>
                <w:rFonts w:asciiTheme="minorHAnsi" w:hAnsiTheme="minorHAnsi" w:cstheme="minorBidi"/>
              </w:rPr>
              <w:t xml:space="preserve">day </w:t>
            </w:r>
            <w:r w:rsidRPr="009168D0">
              <w:rPr>
                <w:rFonts w:asciiTheme="minorHAnsi" w:hAnsiTheme="minorHAnsi" w:cstheme="minorBidi"/>
              </w:rPr>
              <w:t xml:space="preserve">discussion </w:t>
            </w:r>
            <w:r w:rsidR="009168D0" w:rsidRPr="009168D0">
              <w:rPr>
                <w:rFonts w:asciiTheme="minorHAnsi" w:hAnsiTheme="minorHAnsi" w:cstheme="minorBidi"/>
              </w:rPr>
              <w:t>will focus on women’s right to work as a foundational human right enabling women’s full, equal and meaningful participation and leadership in decision</w:t>
            </w:r>
            <w:r w:rsidR="009168D0" w:rsidRPr="009168D0">
              <w:rPr>
                <w:rFonts w:asciiTheme="minorHAnsi" w:hAnsiTheme="minorHAnsi" w:cstheme="minorBidi"/>
              </w:rPr>
              <w:noBreakHyphen/>
              <w:t>making</w:t>
            </w:r>
            <w:r w:rsidR="009168D0">
              <w:rPr>
                <w:rFonts w:asciiTheme="minorHAnsi" w:hAnsiTheme="minorHAnsi" w:cstheme="minorBidi"/>
              </w:rPr>
              <w:t>.</w:t>
            </w:r>
          </w:p>
        </w:tc>
      </w:tr>
      <w:tr w:rsidR="005C78F6" w:rsidRPr="003F65AB" w14:paraId="4E15E164" w14:textId="77777777" w:rsidTr="5BE82252">
        <w:tc>
          <w:tcPr>
            <w:tcW w:w="1616" w:type="dxa"/>
          </w:tcPr>
          <w:p w14:paraId="23EB72F0" w14:textId="44B75309" w:rsidR="005C78F6" w:rsidRPr="003F65AB" w:rsidRDefault="005C78F6" w:rsidP="0018727D">
            <w:pPr>
              <w:spacing w:after="120" w:line="240" w:lineRule="auto"/>
              <w:jc w:val="both"/>
              <w:rPr>
                <w:rFonts w:asciiTheme="minorHAnsi" w:hAnsiTheme="minorHAnsi" w:cstheme="minorHAnsi"/>
                <w:b/>
              </w:rPr>
            </w:pPr>
            <w:r w:rsidRPr="00C2774C">
              <w:rPr>
                <w:rFonts w:asciiTheme="minorHAnsi" w:hAnsiTheme="minorHAnsi" w:cstheme="minorHAnsi"/>
                <w:b/>
              </w:rPr>
              <w:lastRenderedPageBreak/>
              <w:t>Background:</w:t>
            </w:r>
          </w:p>
        </w:tc>
        <w:tc>
          <w:tcPr>
            <w:tcW w:w="8590" w:type="dxa"/>
          </w:tcPr>
          <w:p w14:paraId="7F837911" w14:textId="693A349E" w:rsidR="00EB0593" w:rsidRPr="00FB3CB9" w:rsidRDefault="00EB0593" w:rsidP="5BE82252">
            <w:pPr>
              <w:spacing w:after="120" w:line="240" w:lineRule="auto"/>
              <w:jc w:val="both"/>
              <w:rPr>
                <w:lang w:val="en-US"/>
              </w:rPr>
            </w:pPr>
            <w:r w:rsidRPr="5BE82252">
              <w:rPr>
                <w:lang w:val="en-US"/>
              </w:rPr>
              <w:t>The right to work is a universal human right and a cornerstone of women’s autonomy, dignity and full enjoyment of other human rights. Its effective realization is closely linked to women’s ability to enter, remain in and influence decision-making processes in public, economic</w:t>
            </w:r>
            <w:r w:rsidR="000C1BDF">
              <w:rPr>
                <w:lang w:val="en-US"/>
              </w:rPr>
              <w:t>, diplomatic</w:t>
            </w:r>
            <w:r w:rsidRPr="5BE82252">
              <w:rPr>
                <w:lang w:val="en-US"/>
              </w:rPr>
              <w:t xml:space="preserve"> and multilateral spheres. Where women face barriers to accessing decent work, progressing in their careers or remaining in employment, their participation in decision-making is systematically limited.</w:t>
            </w:r>
          </w:p>
          <w:p w14:paraId="71C890E3" w14:textId="35E06728" w:rsidR="00EB0593" w:rsidRPr="0003488F" w:rsidRDefault="00EB0593" w:rsidP="00AE2DE2">
            <w:pPr>
              <w:spacing w:after="120" w:line="240" w:lineRule="auto"/>
              <w:jc w:val="both"/>
            </w:pPr>
            <w:r w:rsidRPr="00836B2A">
              <w:t>International human rights law and international labour standards recognize the interdependence between equality in employment and women’s participation in public life. The Universal Declaration of Human Rights</w:t>
            </w:r>
            <w:r w:rsidR="00BA0291">
              <w:t xml:space="preserve"> (arts.23-24)</w:t>
            </w:r>
            <w:r w:rsidRPr="00836B2A">
              <w:t>, the International Covenant on Economic, Social and Cultural Rights</w:t>
            </w:r>
            <w:r w:rsidR="000C1E16">
              <w:t xml:space="preserve"> (arts. 6-8)</w:t>
            </w:r>
            <w:r w:rsidRPr="00836B2A">
              <w:t xml:space="preserve"> and the Convention on the Elimination of All Forms of Discrimination against Women</w:t>
            </w:r>
            <w:r w:rsidR="00A20324">
              <w:t xml:space="preserve"> </w:t>
            </w:r>
            <w:r w:rsidR="003F7CFF">
              <w:t>(art</w:t>
            </w:r>
            <w:r w:rsidR="00A11CAC">
              <w:t>s</w:t>
            </w:r>
            <w:r w:rsidR="003F7CFF">
              <w:t xml:space="preserve">. </w:t>
            </w:r>
            <w:r w:rsidR="00A11CAC">
              <w:t>7-</w:t>
            </w:r>
            <w:r w:rsidR="003F7CFF">
              <w:t>8)</w:t>
            </w:r>
            <w:r w:rsidR="003F7CFF" w:rsidRPr="00836B2A">
              <w:t xml:space="preserve"> </w:t>
            </w:r>
            <w:r w:rsidRPr="00836B2A">
              <w:t>affirm women’s right to work without discrimination and to participate on an equal basis in public and political life</w:t>
            </w:r>
            <w:r w:rsidRPr="00FB3CB9">
              <w:t xml:space="preserve">. </w:t>
            </w:r>
            <w:hyperlink r:id="rId14" w:history="1">
              <w:r w:rsidRPr="007F0030">
                <w:rPr>
                  <w:rStyle w:val="Hyperlink"/>
                </w:rPr>
                <w:t xml:space="preserve">General </w:t>
              </w:r>
              <w:r w:rsidR="007F116A">
                <w:rPr>
                  <w:rStyle w:val="Hyperlink"/>
                </w:rPr>
                <w:t>r</w:t>
              </w:r>
              <w:r w:rsidRPr="007F0030">
                <w:rPr>
                  <w:rStyle w:val="Hyperlink"/>
                </w:rPr>
                <w:t>ecommendation No. 40 (2024)</w:t>
              </w:r>
            </w:hyperlink>
            <w:r w:rsidRPr="00FB3CB9">
              <w:t xml:space="preserve"> </w:t>
            </w:r>
            <w:r w:rsidR="00E845AE">
              <w:t xml:space="preserve">of the </w:t>
            </w:r>
            <w:r w:rsidR="00E845AE" w:rsidRPr="00E845AE">
              <w:t>Committee on the Elimination of Discrimination against Women</w:t>
            </w:r>
            <w:r w:rsidR="00E845AE">
              <w:t xml:space="preserve"> </w:t>
            </w:r>
            <w:r w:rsidRPr="00FB3CB9">
              <w:t xml:space="preserve">further </w:t>
            </w:r>
            <w:r>
              <w:t>state</w:t>
            </w:r>
            <w:r w:rsidRPr="00FB3CB9">
              <w:t>s that women’s equal and inclusive representation in decision-making systems depends on addressing barriers in labour markets, working conditions and the organization of work and care, as well as ensuring freedom from violence and harassment.</w:t>
            </w:r>
            <w:r>
              <w:t xml:space="preserve"> </w:t>
            </w:r>
            <w:r w:rsidRPr="0003488F">
              <w:t xml:space="preserve">This interpretation is echoed at the policy level by the </w:t>
            </w:r>
            <w:hyperlink r:id="rId15" w:history="1">
              <w:r w:rsidRPr="0040592C">
                <w:rPr>
                  <w:rStyle w:val="Hyperlink"/>
                </w:rPr>
                <w:t>agreed conclusions of the Commission on the Status of Women at its seventieth session</w:t>
              </w:r>
            </w:hyperlink>
            <w:r w:rsidRPr="0003488F">
              <w:t>, which reflect intergovernmental consensus that structural inequalities in employment must be addressed as part of efforts to advance gender</w:t>
            </w:r>
            <w:r w:rsidRPr="0003488F">
              <w:noBreakHyphen/>
              <w:t>equal participation.</w:t>
            </w:r>
          </w:p>
          <w:p w14:paraId="366B3D4A" w14:textId="1303B281" w:rsidR="00EB0593" w:rsidRPr="00FB3CB9" w:rsidRDefault="00EB0593" w:rsidP="5BE82252">
            <w:pPr>
              <w:spacing w:after="120" w:line="240" w:lineRule="auto"/>
              <w:jc w:val="both"/>
              <w:rPr>
                <w:lang w:val="en-US"/>
              </w:rPr>
            </w:pPr>
            <w:r w:rsidRPr="5BE82252">
              <w:rPr>
                <w:lang w:val="en-US"/>
              </w:rPr>
              <w:t xml:space="preserve">Despite these commitments, women’s participation in the </w:t>
            </w:r>
            <w:proofErr w:type="spellStart"/>
            <w:r w:rsidRPr="5BE82252">
              <w:rPr>
                <w:lang w:val="en-US"/>
              </w:rPr>
              <w:t>labour</w:t>
            </w:r>
            <w:proofErr w:type="spellEnd"/>
            <w:r w:rsidRPr="5BE82252">
              <w:rPr>
                <w:lang w:val="en-US"/>
              </w:rPr>
              <w:t xml:space="preserve"> market remains constrained. According to </w:t>
            </w:r>
            <w:r w:rsidR="004B3F11" w:rsidRPr="5BE82252">
              <w:rPr>
                <w:lang w:val="en-US"/>
              </w:rPr>
              <w:t xml:space="preserve">the </w:t>
            </w:r>
            <w:r w:rsidRPr="5BE82252">
              <w:rPr>
                <w:lang w:val="en-US"/>
              </w:rPr>
              <w:t>estimates</w:t>
            </w:r>
            <w:r w:rsidR="004B3F11" w:rsidRPr="5BE82252">
              <w:rPr>
                <w:lang w:val="en-US"/>
              </w:rPr>
              <w:t xml:space="preserve"> of the International </w:t>
            </w:r>
            <w:proofErr w:type="spellStart"/>
            <w:r w:rsidR="004B3F11" w:rsidRPr="5BE82252">
              <w:rPr>
                <w:lang w:val="en-US"/>
              </w:rPr>
              <w:t>Labour</w:t>
            </w:r>
            <w:proofErr w:type="spellEnd"/>
            <w:r w:rsidR="004B3F11" w:rsidRPr="5BE82252">
              <w:rPr>
                <w:lang w:val="en-US"/>
              </w:rPr>
              <w:t xml:space="preserve"> Organization</w:t>
            </w:r>
            <w:r w:rsidR="006C1C0C" w:rsidRPr="5BE82252">
              <w:rPr>
                <w:lang w:val="en-US"/>
              </w:rPr>
              <w:t xml:space="preserve"> (ILO)</w:t>
            </w:r>
            <w:r w:rsidRPr="5BE82252">
              <w:rPr>
                <w:lang w:val="en-US"/>
              </w:rPr>
              <w:t xml:space="preserve">, in 2025 women’s global </w:t>
            </w:r>
            <w:proofErr w:type="spellStart"/>
            <w:r w:rsidRPr="5BE82252">
              <w:rPr>
                <w:lang w:val="en-US"/>
              </w:rPr>
              <w:t>labour</w:t>
            </w:r>
            <w:proofErr w:type="spellEnd"/>
            <w:r w:rsidRPr="5BE82252">
              <w:rPr>
                <w:lang w:val="en-US"/>
              </w:rPr>
              <w:t xml:space="preserve"> force participation stood at approximately 48</w:t>
            </w:r>
            <w:r w:rsidR="0037624E" w:rsidRPr="5BE82252">
              <w:rPr>
                <w:lang w:val="en-US"/>
              </w:rPr>
              <w:t xml:space="preserve"> per cent</w:t>
            </w:r>
            <w:r w:rsidRPr="5BE82252">
              <w:rPr>
                <w:lang w:val="en-US"/>
              </w:rPr>
              <w:t>, compared with significantly higher rates for men</w:t>
            </w:r>
            <w:r w:rsidRPr="5BE82252">
              <w:rPr>
                <w:rStyle w:val="FootnoteReference"/>
                <w:lang w:val="en-US"/>
              </w:rPr>
              <w:footnoteReference w:id="2"/>
            </w:r>
            <w:r w:rsidRPr="5BE82252">
              <w:rPr>
                <w:lang w:val="en-US"/>
              </w:rPr>
              <w:t xml:space="preserve">. Even when women participate in paid employment, they are disproportionately concentrated in informal, </w:t>
            </w:r>
            <w:r w:rsidR="00265373">
              <w:rPr>
                <w:lang w:val="en-US"/>
              </w:rPr>
              <w:t>precarious</w:t>
            </w:r>
            <w:r w:rsidRPr="5BE82252">
              <w:rPr>
                <w:lang w:val="en-US"/>
              </w:rPr>
              <w:t xml:space="preserve"> and low</w:t>
            </w:r>
            <w:r w:rsidRPr="00885EA9">
              <w:noBreakHyphen/>
            </w:r>
            <w:r w:rsidRPr="5BE82252">
              <w:rPr>
                <w:lang w:val="en-US"/>
              </w:rPr>
              <w:t>paid work which often lacks stable career trajectories, social protection and opportunities for advancement into leadership</w:t>
            </w:r>
            <w:r w:rsidRPr="5BE82252">
              <w:rPr>
                <w:rStyle w:val="FootnoteReference"/>
                <w:lang w:val="en-US"/>
              </w:rPr>
              <w:footnoteReference w:id="3"/>
            </w:r>
            <w:r w:rsidRPr="5BE82252">
              <w:rPr>
                <w:lang w:val="en-US"/>
              </w:rPr>
              <w:t xml:space="preserve">. In many contexts, women experience multiple and intersecting forms of discrimination, based on sex in combination with </w:t>
            </w:r>
            <w:r w:rsidR="007241CC">
              <w:rPr>
                <w:lang w:val="en-US"/>
              </w:rPr>
              <w:t xml:space="preserve">age, </w:t>
            </w:r>
            <w:r w:rsidRPr="5BE82252">
              <w:rPr>
                <w:lang w:val="en-US"/>
              </w:rPr>
              <w:t xml:space="preserve">race, ethnicity, disability, </w:t>
            </w:r>
            <w:r w:rsidR="00265373">
              <w:rPr>
                <w:lang w:val="en-US"/>
              </w:rPr>
              <w:t xml:space="preserve">family or marital status, </w:t>
            </w:r>
            <w:r w:rsidRPr="5BE82252">
              <w:rPr>
                <w:lang w:val="en-US"/>
              </w:rPr>
              <w:t>migration status or socio-economic background, which further restrict access to decent work and pathways into decision-making</w:t>
            </w:r>
            <w:r w:rsidR="006C6B8F">
              <w:rPr>
                <w:rStyle w:val="FootnoteReference"/>
                <w:lang w:val="en-US"/>
              </w:rPr>
              <w:footnoteReference w:id="4"/>
            </w:r>
            <w:r w:rsidRPr="5BE82252">
              <w:rPr>
                <w:lang w:val="en-US"/>
              </w:rPr>
              <w:t>.</w:t>
            </w:r>
          </w:p>
          <w:p w14:paraId="4B1B1E38" w14:textId="638E21A3" w:rsidR="00EB0593" w:rsidRDefault="00EB0593" w:rsidP="5BE82252">
            <w:pPr>
              <w:spacing w:after="120" w:line="240" w:lineRule="auto"/>
              <w:jc w:val="both"/>
              <w:rPr>
                <w:lang w:val="en-US"/>
              </w:rPr>
            </w:pPr>
            <w:r w:rsidRPr="5BE82252">
              <w:rPr>
                <w:lang w:val="en-US"/>
              </w:rPr>
              <w:t>As a result of these cumulative barriers, women’s presence diminishes as levels of authority and influence increase. While women’s participation in public administration, international organizations and other decision-making arenas has expanded over recent decades, progress remains uneven. Globally, women hold slightly over 31.7</w:t>
            </w:r>
            <w:r w:rsidR="00D81F0A" w:rsidRPr="5BE82252">
              <w:rPr>
                <w:lang w:val="en-US"/>
              </w:rPr>
              <w:t xml:space="preserve"> per cent</w:t>
            </w:r>
            <w:r w:rsidRPr="5BE82252">
              <w:rPr>
                <w:lang w:val="en-US"/>
              </w:rPr>
              <w:t xml:space="preserve"> of senior leadership positions and remain underrepresented in positions where strategic decisions are taken</w:t>
            </w:r>
            <w:r w:rsidRPr="5BE82252">
              <w:rPr>
                <w:rStyle w:val="FootnoteReference"/>
                <w:lang w:val="en-US"/>
              </w:rPr>
              <w:footnoteReference w:id="5"/>
            </w:r>
            <w:r w:rsidRPr="5BE82252">
              <w:rPr>
                <w:lang w:val="en-US"/>
              </w:rPr>
              <w:t>. A similar pattern is evident within trade unions and other social partner organizations</w:t>
            </w:r>
            <w:r w:rsidRPr="5BE82252">
              <w:rPr>
                <w:rStyle w:val="FootnoteReference"/>
                <w:lang w:val="en-US"/>
              </w:rPr>
              <w:footnoteReference w:id="6"/>
            </w:r>
            <w:r w:rsidRPr="5BE82252">
              <w:rPr>
                <w:lang w:val="en-US"/>
              </w:rPr>
              <w:t>, where women’s participation has increased but their continued underrepresentation in leadership and executive positions limits their influence over decisions shaping working conditions and public governance.</w:t>
            </w:r>
            <w:r w:rsidR="00261249">
              <w:rPr>
                <w:lang w:val="en-US"/>
              </w:rPr>
              <w:t xml:space="preserve"> </w:t>
            </w:r>
            <w:r w:rsidR="00261249" w:rsidRPr="00261249">
              <w:rPr>
                <w:lang w:val="en-US"/>
              </w:rPr>
              <w:t xml:space="preserve">In </w:t>
            </w:r>
            <w:r w:rsidR="00261249">
              <w:rPr>
                <w:lang w:val="en-US"/>
              </w:rPr>
              <w:t>d</w:t>
            </w:r>
            <w:r w:rsidR="00261249" w:rsidRPr="00261249">
              <w:rPr>
                <w:lang w:val="en-US"/>
              </w:rPr>
              <w:t>iplomacy, women represent less than one quarter of Ambassadors and Permanent Representatives</w:t>
            </w:r>
            <w:r w:rsidR="007C7B2C">
              <w:rPr>
                <w:rStyle w:val="FootnoteReference"/>
                <w:lang w:val="en-US"/>
              </w:rPr>
              <w:footnoteReference w:id="7"/>
            </w:r>
            <w:r w:rsidR="0036319C">
              <w:rPr>
                <w:lang w:val="en-US"/>
              </w:rPr>
              <w:t>.</w:t>
            </w:r>
          </w:p>
          <w:p w14:paraId="05093B66" w14:textId="4E13064E" w:rsidR="003F7CFF" w:rsidRPr="003F7CFF" w:rsidRDefault="003F7CFF" w:rsidP="003F7CFF">
            <w:pPr>
              <w:spacing w:after="120" w:line="240" w:lineRule="auto"/>
              <w:jc w:val="both"/>
              <w:rPr>
                <w:lang w:val="en-US"/>
              </w:rPr>
            </w:pPr>
            <w:r w:rsidRPr="003F7CFF">
              <w:rPr>
                <w:lang w:val="en-US"/>
              </w:rPr>
              <w:t xml:space="preserve">The persistence of these patterns reflects the operation of structural barriers beyond formal legal and policy frameworks. Informal rules, organizational cultures and gendered norms </w:t>
            </w:r>
            <w:r w:rsidRPr="003F7CFF">
              <w:rPr>
                <w:lang w:val="en-US"/>
              </w:rPr>
              <w:lastRenderedPageBreak/>
              <w:t xml:space="preserve">governing careers continue to shape unequal outcomes, even in contexts where </w:t>
            </w:r>
            <w:proofErr w:type="spellStart"/>
            <w:r w:rsidRPr="003F7CFF">
              <w:rPr>
                <w:lang w:val="en-US"/>
              </w:rPr>
              <w:t>non</w:t>
            </w:r>
            <w:r w:rsidRPr="003F7CFF">
              <w:noBreakHyphen/>
            </w:r>
            <w:r w:rsidRPr="003F7CFF">
              <w:rPr>
                <w:lang w:val="en-US"/>
              </w:rPr>
              <w:t>discrimination</w:t>
            </w:r>
            <w:proofErr w:type="spellEnd"/>
            <w:r w:rsidRPr="003F7CFF">
              <w:rPr>
                <w:lang w:val="en-US"/>
              </w:rPr>
              <w:t xml:space="preserve"> is formally guaranteed</w:t>
            </w:r>
            <w:r w:rsidRPr="003F7CFF">
              <w:rPr>
                <w:rStyle w:val="FootnoteReference"/>
                <w:lang w:val="en-US"/>
              </w:rPr>
              <w:footnoteReference w:id="8"/>
            </w:r>
            <w:r w:rsidRPr="003F7CFF">
              <w:rPr>
                <w:lang w:val="en-US"/>
              </w:rPr>
              <w:t>. These structural barriers manifest in multiple and reinforcing ways within the world of work.</w:t>
            </w:r>
          </w:p>
          <w:p w14:paraId="6A63181E" w14:textId="6A93B6A4" w:rsidR="00EB0593" w:rsidRPr="003243C9" w:rsidRDefault="00EB0593" w:rsidP="5BE82252">
            <w:pPr>
              <w:spacing w:after="120" w:line="240" w:lineRule="auto"/>
              <w:jc w:val="both"/>
              <w:rPr>
                <w:lang w:val="en-US"/>
              </w:rPr>
            </w:pPr>
            <w:r w:rsidRPr="5BE82252">
              <w:rPr>
                <w:lang w:val="en-US"/>
              </w:rPr>
              <w:t>Occupational and sectoral segregation channels women into undervalued and feminized sectors, while glass ceilings restrict progression to senior and managerial levels, including within public administration</w:t>
            </w:r>
            <w:r w:rsidRPr="5BE82252">
              <w:rPr>
                <w:rStyle w:val="FootnoteReference"/>
                <w:lang w:val="en-US"/>
              </w:rPr>
              <w:footnoteReference w:id="9"/>
            </w:r>
            <w:r w:rsidRPr="5BE82252">
              <w:rPr>
                <w:lang w:val="en-US"/>
              </w:rPr>
              <w:t xml:space="preserve">. The unequal distribution of unpaid care and domestic work limits women’s availability for leadership roles, international postings, negotiations and public service careers. International </w:t>
            </w:r>
            <w:proofErr w:type="spellStart"/>
            <w:r w:rsidRPr="5BE82252">
              <w:rPr>
                <w:lang w:val="en-US"/>
              </w:rPr>
              <w:t>labour</w:t>
            </w:r>
            <w:proofErr w:type="spellEnd"/>
            <w:r w:rsidRPr="5BE82252">
              <w:rPr>
                <w:lang w:val="en-US"/>
              </w:rPr>
              <w:t xml:space="preserve"> standards, including the </w:t>
            </w:r>
            <w:hyperlink r:id="rId16">
              <w:r w:rsidRPr="5BE82252">
                <w:rPr>
                  <w:rStyle w:val="Hyperlink"/>
                  <w:lang w:val="en-US"/>
                </w:rPr>
                <w:t>Workers with Family Responsibilities Convention, 1981 (No. 156)</w:t>
              </w:r>
            </w:hyperlink>
            <w:r w:rsidRPr="5BE82252">
              <w:rPr>
                <w:lang w:val="en-US"/>
              </w:rPr>
              <w:t xml:space="preserve">, </w:t>
            </w:r>
            <w:r w:rsidR="00793E29" w:rsidRPr="5BE82252">
              <w:rPr>
                <w:lang w:val="en-US"/>
              </w:rPr>
              <w:t>have long emphasize</w:t>
            </w:r>
            <w:r w:rsidR="00FC7363" w:rsidRPr="5BE82252">
              <w:rPr>
                <w:lang w:val="en-US"/>
              </w:rPr>
              <w:t>d</w:t>
            </w:r>
            <w:r w:rsidRPr="5BE82252">
              <w:rPr>
                <w:lang w:val="en-US"/>
              </w:rPr>
              <w:t xml:space="preserve"> the importance of addressing conflicts between work and family responsibilities, including through work arrangements and care support, in order to enable women’s sustained participation in employment and leadership pathways.</w:t>
            </w:r>
          </w:p>
          <w:p w14:paraId="76A12591" w14:textId="77777777" w:rsidR="00EB0593" w:rsidRPr="00465905" w:rsidRDefault="00EB0593" w:rsidP="5BE82252">
            <w:pPr>
              <w:spacing w:after="120" w:line="240" w:lineRule="auto"/>
              <w:jc w:val="both"/>
              <w:rPr>
                <w:lang w:val="en-US"/>
              </w:rPr>
            </w:pPr>
            <w:r w:rsidRPr="5BE82252">
              <w:rPr>
                <w:lang w:val="en-US"/>
              </w:rPr>
              <w:t>Gender-based violence and harassment, including in the world of work, also undermine women’s safety, visibility and retention in decision-making spaces</w:t>
            </w:r>
            <w:r w:rsidRPr="5BE82252">
              <w:rPr>
                <w:rStyle w:val="FootnoteReference"/>
                <w:lang w:val="en-US"/>
              </w:rPr>
              <w:footnoteReference w:id="10"/>
            </w:r>
            <w:r w:rsidRPr="5BE82252">
              <w:rPr>
                <w:lang w:val="en-US"/>
              </w:rPr>
              <w:t>. Such risks deter women from entering, remaining in or seeking leadership roles, particularly in male-dominated sectors and international environments. Digital forms of harassment and abuse increasingly compound these risks, targeting women’s public presence and discouraging sustained participation.</w:t>
            </w:r>
          </w:p>
          <w:p w14:paraId="1AA52F57" w14:textId="14516231" w:rsidR="006A3A4A" w:rsidRPr="00782CE9" w:rsidRDefault="00EB0593" w:rsidP="5BE82252">
            <w:pPr>
              <w:spacing w:after="120" w:line="240" w:lineRule="auto"/>
              <w:jc w:val="both"/>
              <w:rPr>
                <w:lang w:val="en-US"/>
              </w:rPr>
            </w:pPr>
            <w:r w:rsidRPr="5BE82252">
              <w:rPr>
                <w:lang w:val="en-US"/>
              </w:rPr>
              <w:t>The underrepresentation of women in decision-making</w:t>
            </w:r>
            <w:r w:rsidR="00B743EE">
              <w:rPr>
                <w:lang w:val="en-US"/>
              </w:rPr>
              <w:t xml:space="preserve">, including in </w:t>
            </w:r>
            <w:r w:rsidR="00D412D6">
              <w:rPr>
                <w:lang w:val="en-US"/>
              </w:rPr>
              <w:t xml:space="preserve">diplomacy, </w:t>
            </w:r>
            <w:r w:rsidR="00D412D6" w:rsidRPr="5BE82252">
              <w:rPr>
                <w:lang w:val="en-US"/>
              </w:rPr>
              <w:t>has</w:t>
            </w:r>
            <w:r w:rsidRPr="5BE82252">
              <w:rPr>
                <w:lang w:val="en-US"/>
              </w:rPr>
              <w:t xml:space="preserve"> tangible consequences. When </w:t>
            </w:r>
            <w:proofErr w:type="gramStart"/>
            <w:r w:rsidRPr="5BE82252">
              <w:rPr>
                <w:lang w:val="en-US"/>
              </w:rPr>
              <w:t>women’s</w:t>
            </w:r>
            <w:proofErr w:type="gramEnd"/>
            <w:r w:rsidRPr="5BE82252">
              <w:rPr>
                <w:lang w:val="en-US"/>
              </w:rPr>
              <w:t xml:space="preserve"> lived experiences and expertise are absent, policies and institutional responses are less inclusive, less responsive and less effective. Conversely, women’s meaningful participation in decision-making across public administration, diplomacy, economic governance, trade unions and civil society strengthens institutional legitimacy and contributes to more sustainable outcomes.</w:t>
            </w:r>
            <w:r w:rsidR="00782CE9" w:rsidRPr="5BE82252">
              <w:rPr>
                <w:lang w:val="en-US"/>
              </w:rPr>
              <w:t xml:space="preserve"> </w:t>
            </w:r>
            <w:r w:rsidRPr="5BE82252">
              <w:rPr>
                <w:lang w:val="en-US"/>
              </w:rPr>
              <w:t>At a time of global uncertainty and rapid transformation, addressing structural barriers in the world of work is central to advancing women’s full, equal and meaningful participation in decision</w:t>
            </w:r>
            <w:r>
              <w:noBreakHyphen/>
            </w:r>
            <w:r w:rsidRPr="5BE82252">
              <w:rPr>
                <w:lang w:val="en-US"/>
              </w:rPr>
              <w:t xml:space="preserve">making. </w:t>
            </w:r>
          </w:p>
        </w:tc>
      </w:tr>
      <w:tr w:rsidR="005C78F6" w:rsidRPr="003F65AB" w14:paraId="7B31A97F" w14:textId="77777777" w:rsidTr="5BE82252">
        <w:trPr>
          <w:trHeight w:val="80"/>
        </w:trPr>
        <w:tc>
          <w:tcPr>
            <w:tcW w:w="1616" w:type="dxa"/>
          </w:tcPr>
          <w:p w14:paraId="3B00D239" w14:textId="77777777" w:rsidR="005C78F6" w:rsidRPr="003F65AB" w:rsidRDefault="005C78F6" w:rsidP="0018727D">
            <w:pPr>
              <w:spacing w:after="0" w:line="240" w:lineRule="auto"/>
              <w:rPr>
                <w:rFonts w:asciiTheme="minorHAnsi" w:hAnsiTheme="minorHAnsi" w:cstheme="minorHAnsi"/>
                <w:b/>
              </w:rPr>
            </w:pPr>
            <w:r w:rsidRPr="003F65AB">
              <w:rPr>
                <w:rFonts w:asciiTheme="minorHAnsi" w:hAnsiTheme="minorHAnsi" w:cstheme="minorHAnsi"/>
                <w:b/>
              </w:rPr>
              <w:lastRenderedPageBreak/>
              <w:t xml:space="preserve">Format: </w:t>
            </w:r>
          </w:p>
        </w:tc>
        <w:tc>
          <w:tcPr>
            <w:tcW w:w="8590" w:type="dxa"/>
          </w:tcPr>
          <w:p w14:paraId="36753AF1" w14:textId="13549E51" w:rsidR="005C78F6" w:rsidRPr="003F65AB" w:rsidRDefault="005C78F6" w:rsidP="0018727D">
            <w:pPr>
              <w:spacing w:after="120" w:line="240" w:lineRule="auto"/>
              <w:jc w:val="both"/>
              <w:rPr>
                <w:rFonts w:asciiTheme="minorHAnsi" w:hAnsiTheme="minorHAnsi" w:cstheme="minorBidi"/>
              </w:rPr>
            </w:pPr>
            <w:r w:rsidRPr="31A6510C">
              <w:rPr>
                <w:rFonts w:asciiTheme="minorHAnsi" w:hAnsiTheme="minorHAnsi" w:cstheme="minorBidi"/>
              </w:rPr>
              <w:t>The panel discussion will be limited to two hours. The opening statement</w:t>
            </w:r>
            <w:r w:rsidR="003D4203">
              <w:rPr>
                <w:rFonts w:asciiTheme="minorHAnsi" w:hAnsiTheme="minorHAnsi" w:cstheme="minorBidi"/>
              </w:rPr>
              <w:t>s</w:t>
            </w:r>
            <w:r w:rsidRPr="31A6510C">
              <w:rPr>
                <w:rFonts w:asciiTheme="minorHAnsi" w:hAnsiTheme="minorHAnsi" w:cstheme="minorBidi"/>
              </w:rPr>
              <w:t xml:space="preserve"> and initial presentations by the panellists will be followed by a two-part interactive discussion and by conclusions from the panellists. A maximum of one hour will be set aside for podium interventions, including the opening statement, panellists’ presentations, and their responses to questions and concluding remarks. The remaining hour will be reserved for two segments of interventions from the floor, with each segment consisting of interventions from 14 States or observers, 2 national human rights institutions and 4 non-governmental organizations. Each speaker will have 1.5 minutes to raise issues and to ask panellists questions. The panellists will respond to questions and comments during the remaining time available.</w:t>
            </w:r>
          </w:p>
          <w:p w14:paraId="1D5FB1B8" w14:textId="7D40156E" w:rsidR="005C78F6" w:rsidRPr="003F65AB" w:rsidRDefault="005C78F6" w:rsidP="0018727D">
            <w:pPr>
              <w:spacing w:after="120" w:line="240" w:lineRule="auto"/>
              <w:jc w:val="both"/>
              <w:rPr>
                <w:rFonts w:asciiTheme="minorHAnsi" w:hAnsiTheme="minorHAnsi" w:cstheme="minorHAnsi"/>
                <w:bCs/>
              </w:rPr>
            </w:pPr>
            <w:r w:rsidRPr="003F65AB">
              <w:rPr>
                <w:rFonts w:asciiTheme="minorHAnsi" w:hAnsiTheme="minorHAnsi" w:cstheme="minorHAnsi"/>
              </w:rPr>
              <w:t xml:space="preserve">The list of speakers for the discussion will be established through the online inscription system and, as per </w:t>
            </w:r>
            <w:r w:rsidR="00F376F2">
              <w:rPr>
                <w:rFonts w:asciiTheme="minorHAnsi" w:hAnsiTheme="minorHAnsi" w:cstheme="minorHAnsi"/>
              </w:rPr>
              <w:t xml:space="preserve">Council </w:t>
            </w:r>
            <w:r w:rsidRPr="003F65AB">
              <w:rPr>
                <w:rFonts w:asciiTheme="minorHAnsi" w:hAnsiTheme="minorHAnsi" w:cstheme="minorHAnsi"/>
              </w:rPr>
              <w:t xml:space="preserve">practice, statements by high-level dignitaries and groups of States will be moved to the beginning of the list. Delegates who could not take the floor due to time constraints will be able to upload their statements on the online system to be posted </w:t>
            </w:r>
            <w:hyperlink r:id="rId17" w:history="1">
              <w:r w:rsidRPr="00A54D29">
                <w:rPr>
                  <w:rFonts w:asciiTheme="minorHAnsi" w:hAnsiTheme="minorHAnsi" w:cstheme="minorHAnsi"/>
                </w:rPr>
                <w:t>on the HRC Extranet</w:t>
              </w:r>
            </w:hyperlink>
            <w:r w:rsidR="00A54D29">
              <w:t xml:space="preserve"> </w:t>
            </w:r>
            <w:r w:rsidR="00A54D29" w:rsidRPr="00A54D29">
              <w:rPr>
                <w:rFonts w:asciiTheme="minorHAnsi" w:hAnsiTheme="minorHAnsi" w:cstheme="minorHAnsi"/>
              </w:rPr>
              <w:t>on the HRC Extranet</w:t>
            </w:r>
            <w:r w:rsidRPr="003F65AB">
              <w:rPr>
                <w:rFonts w:asciiTheme="minorHAnsi" w:hAnsiTheme="minorHAnsi" w:cstheme="minorHAnsi"/>
              </w:rPr>
              <w:t>. Interpretation will be provided in the six United Nations official languages (Arabic, Chinese, English, French, Russian and Spanish).</w:t>
            </w:r>
          </w:p>
        </w:tc>
      </w:tr>
      <w:tr w:rsidR="005C78F6" w:rsidRPr="003F65AB" w14:paraId="03038CA2" w14:textId="77777777" w:rsidTr="5BE82252">
        <w:tc>
          <w:tcPr>
            <w:tcW w:w="1616" w:type="dxa"/>
          </w:tcPr>
          <w:p w14:paraId="2F1D320B" w14:textId="13906C7D" w:rsidR="005C78F6" w:rsidRPr="003F65AB" w:rsidRDefault="005C78F6" w:rsidP="0018727D">
            <w:pPr>
              <w:spacing w:after="0" w:line="240" w:lineRule="auto"/>
              <w:rPr>
                <w:rFonts w:asciiTheme="minorHAnsi" w:hAnsiTheme="minorHAnsi" w:cstheme="minorHAnsi"/>
                <w:b/>
                <w:bCs/>
              </w:rPr>
            </w:pPr>
            <w:r w:rsidRPr="003F65AB">
              <w:rPr>
                <w:rFonts w:asciiTheme="minorHAnsi" w:hAnsiTheme="minorHAnsi" w:cstheme="minorHAnsi"/>
                <w:b/>
                <w:bCs/>
              </w:rPr>
              <w:t>Accessibility:</w:t>
            </w:r>
          </w:p>
        </w:tc>
        <w:tc>
          <w:tcPr>
            <w:tcW w:w="8590" w:type="dxa"/>
          </w:tcPr>
          <w:p w14:paraId="0E15A7F7" w14:textId="3698DF04" w:rsidR="005C78F6" w:rsidRPr="003F65AB" w:rsidRDefault="005C78F6" w:rsidP="0018727D">
            <w:pPr>
              <w:spacing w:after="120" w:line="240" w:lineRule="auto"/>
              <w:jc w:val="both"/>
              <w:rPr>
                <w:rFonts w:asciiTheme="minorHAnsi" w:hAnsiTheme="minorHAnsi" w:cstheme="minorHAnsi"/>
                <w:bCs/>
              </w:rPr>
            </w:pPr>
            <w:proofErr w:type="gramStart"/>
            <w:r w:rsidRPr="003F65AB">
              <w:rPr>
                <w:rFonts w:asciiTheme="minorHAnsi" w:hAnsiTheme="minorHAnsi" w:cstheme="minorHAnsi"/>
                <w:bCs/>
              </w:rPr>
              <w:t>In an effort to</w:t>
            </w:r>
            <w:proofErr w:type="gramEnd"/>
            <w:r w:rsidRPr="003F65AB">
              <w:rPr>
                <w:rFonts w:asciiTheme="minorHAnsi" w:hAnsiTheme="minorHAnsi" w:cstheme="minorHAnsi"/>
                <w:bCs/>
              </w:rPr>
              <w:t xml:space="preserve"> render the Human Rights Council more accessible to persons with disabilities and to promote their full participation in the work of the Council on an equal basis with others, the panel discussion will be webcast and made accessible. International sign interpretation and real-time captioning in English will be provided and webcast. </w:t>
            </w:r>
            <w:r w:rsidR="008A00CD">
              <w:rPr>
                <w:rFonts w:asciiTheme="minorHAnsi" w:hAnsiTheme="minorHAnsi" w:cstheme="minorHAnsi"/>
                <w:bCs/>
              </w:rPr>
              <w:t>During the event itself, p</w:t>
            </w:r>
            <w:r w:rsidRPr="003F65AB">
              <w:rPr>
                <w:rFonts w:asciiTheme="minorHAnsi" w:hAnsiTheme="minorHAnsi" w:cstheme="minorHAnsi"/>
                <w:bCs/>
              </w:rPr>
              <w:t xml:space="preserve">articipants can access live English captioning on the </w:t>
            </w:r>
            <w:proofErr w:type="spellStart"/>
            <w:r w:rsidRPr="003F65AB">
              <w:rPr>
                <w:rFonts w:asciiTheme="minorHAnsi" w:hAnsiTheme="minorHAnsi" w:cstheme="minorHAnsi"/>
                <w:bCs/>
              </w:rPr>
              <w:t>StreamText</w:t>
            </w:r>
            <w:proofErr w:type="spellEnd"/>
            <w:r w:rsidRPr="003F65AB">
              <w:rPr>
                <w:rFonts w:asciiTheme="minorHAnsi" w:hAnsiTheme="minorHAnsi" w:cstheme="minorHAnsi"/>
                <w:bCs/>
              </w:rPr>
              <w:t xml:space="preserve"> web page (</w:t>
            </w:r>
            <w:hyperlink r:id="rId18" w:history="1">
              <w:r w:rsidRPr="003F65AB">
                <w:rPr>
                  <w:rStyle w:val="Hyperlink"/>
                  <w:rFonts w:asciiTheme="minorHAnsi" w:hAnsiTheme="minorHAnsi" w:cstheme="minorHAnsi"/>
                  <w:bCs/>
                </w:rPr>
                <w:t>https://www.streamtext.net/player?event=CFI-UNOG</w:t>
              </w:r>
            </w:hyperlink>
            <w:r w:rsidRPr="003F65AB">
              <w:rPr>
                <w:rFonts w:asciiTheme="minorHAnsi" w:hAnsiTheme="minorHAnsi" w:cstheme="minorHAnsi"/>
                <w:bCs/>
              </w:rPr>
              <w:t xml:space="preserve">). </w:t>
            </w:r>
            <w:r w:rsidRPr="003F65AB">
              <w:rPr>
                <w:rFonts w:asciiTheme="minorHAnsi" w:hAnsiTheme="minorHAnsi" w:cstheme="minorHAnsi"/>
              </w:rPr>
              <w:t xml:space="preserve">Hearing loops are available for collection from the Secretariat desk. Oral statements may be embossed in Braille from any of the six official languages of the United Nations, upon request and following the procedure </w:t>
            </w:r>
            <w:r w:rsidRPr="003F65AB">
              <w:rPr>
                <w:rFonts w:asciiTheme="minorHAnsi" w:hAnsiTheme="minorHAnsi" w:cstheme="minorHAnsi"/>
              </w:rPr>
              <w:lastRenderedPageBreak/>
              <w:t>described in the</w:t>
            </w:r>
            <w:r w:rsidRPr="003F65AB">
              <w:rPr>
                <w:rFonts w:asciiTheme="minorHAnsi" w:hAnsiTheme="minorHAnsi" w:cstheme="minorHAnsi"/>
                <w:i/>
              </w:rPr>
              <w:t xml:space="preserve"> Accessibility guide to the Human Rights Council for persons with disabilities</w:t>
            </w:r>
            <w:r w:rsidRPr="003F65AB">
              <w:rPr>
                <w:rFonts w:asciiTheme="minorHAnsi" w:hAnsiTheme="minorHAnsi" w:cstheme="minorHAnsi"/>
              </w:rPr>
              <w:t xml:space="preserve"> (</w:t>
            </w:r>
            <w:hyperlink r:id="rId19" w:history="1">
              <w:r w:rsidRPr="003F65AB">
                <w:rPr>
                  <w:rStyle w:val="Hyperlink"/>
                  <w:rFonts w:asciiTheme="minorHAnsi" w:hAnsiTheme="minorHAnsi" w:cstheme="minorHAnsi"/>
                </w:rPr>
                <w:t>https://www.ohchr.org/en/hr-bodies/hrc/accessibility</w:t>
              </w:r>
            </w:hyperlink>
            <w:r w:rsidRPr="003F65AB">
              <w:rPr>
                <w:rFonts w:asciiTheme="minorHAnsi" w:hAnsiTheme="minorHAnsi" w:cstheme="minorHAnsi"/>
              </w:rPr>
              <w:t>).</w:t>
            </w:r>
          </w:p>
        </w:tc>
      </w:tr>
      <w:tr w:rsidR="005C78F6" w:rsidRPr="003F65AB" w14:paraId="35B4B10D" w14:textId="77777777" w:rsidTr="5BE82252">
        <w:tc>
          <w:tcPr>
            <w:tcW w:w="1616" w:type="dxa"/>
          </w:tcPr>
          <w:p w14:paraId="30A6A091" w14:textId="58A3E1BD" w:rsidR="005C78F6" w:rsidRPr="003F65AB" w:rsidRDefault="005C78F6" w:rsidP="0018727D">
            <w:pPr>
              <w:spacing w:after="60" w:line="240" w:lineRule="auto"/>
              <w:rPr>
                <w:rFonts w:asciiTheme="minorHAnsi" w:hAnsiTheme="minorHAnsi" w:cstheme="minorHAnsi"/>
                <w:b/>
              </w:rPr>
            </w:pPr>
            <w:r w:rsidRPr="31A6510C">
              <w:rPr>
                <w:rFonts w:asciiTheme="minorHAnsi" w:hAnsiTheme="minorHAnsi" w:cstheme="minorBidi"/>
                <w:b/>
                <w:bCs/>
              </w:rPr>
              <w:lastRenderedPageBreak/>
              <w:t>Related documents:</w:t>
            </w:r>
          </w:p>
        </w:tc>
        <w:tc>
          <w:tcPr>
            <w:tcW w:w="8590" w:type="dxa"/>
          </w:tcPr>
          <w:p w14:paraId="17B675A4" w14:textId="36357DE4" w:rsidR="00CF4AB2" w:rsidRDefault="00824E04" w:rsidP="004E6E6F">
            <w:pPr>
              <w:numPr>
                <w:ilvl w:val="0"/>
                <w:numId w:val="26"/>
              </w:numPr>
              <w:spacing w:after="60" w:line="240" w:lineRule="auto"/>
              <w:ind w:left="249" w:hanging="249"/>
              <w:rPr>
                <w:rFonts w:asciiTheme="minorHAnsi" w:hAnsiTheme="minorHAnsi" w:cstheme="minorBidi"/>
              </w:rPr>
            </w:pPr>
            <w:r w:rsidRPr="31A6510C">
              <w:rPr>
                <w:rFonts w:asciiTheme="minorHAnsi" w:hAnsiTheme="minorHAnsi" w:cstheme="minorBidi"/>
              </w:rPr>
              <w:t xml:space="preserve">Committee on the Elimination of Discrimination against Women, General </w:t>
            </w:r>
            <w:r w:rsidR="000124F4">
              <w:rPr>
                <w:rFonts w:asciiTheme="minorHAnsi" w:hAnsiTheme="minorHAnsi" w:cstheme="minorBidi"/>
              </w:rPr>
              <w:t>r</w:t>
            </w:r>
            <w:r w:rsidRPr="31A6510C">
              <w:rPr>
                <w:rFonts w:asciiTheme="minorHAnsi" w:hAnsiTheme="minorHAnsi" w:cstheme="minorBidi"/>
              </w:rPr>
              <w:t xml:space="preserve">ecommendation </w:t>
            </w:r>
            <w:r w:rsidR="000124F4">
              <w:rPr>
                <w:rFonts w:asciiTheme="minorHAnsi" w:hAnsiTheme="minorHAnsi" w:cstheme="minorBidi"/>
              </w:rPr>
              <w:t xml:space="preserve">No. </w:t>
            </w:r>
            <w:r w:rsidRPr="31A6510C">
              <w:rPr>
                <w:rFonts w:asciiTheme="minorHAnsi" w:hAnsiTheme="minorHAnsi" w:cstheme="minorBidi"/>
              </w:rPr>
              <w:t>40 (2024) on the equal and inclusive representation of women in decision-making systems (</w:t>
            </w:r>
            <w:hyperlink r:id="rId20" w:history="1">
              <w:r w:rsidR="008E6F1C">
                <w:rPr>
                  <w:rStyle w:val="Hyperlink"/>
                  <w:rFonts w:asciiTheme="minorHAnsi" w:hAnsiTheme="minorHAnsi" w:cstheme="minorBidi"/>
                </w:rPr>
                <w:t>CEDAW/C/GC/40</w:t>
              </w:r>
            </w:hyperlink>
            <w:r w:rsidRPr="31A6510C">
              <w:rPr>
                <w:rFonts w:asciiTheme="minorHAnsi" w:hAnsiTheme="minorHAnsi" w:cstheme="minorBidi"/>
              </w:rPr>
              <w:t>)</w:t>
            </w:r>
          </w:p>
          <w:p w14:paraId="4CE3C535" w14:textId="76FEC49E" w:rsidR="007B5CB3" w:rsidRDefault="007B5CB3" w:rsidP="004E6E6F">
            <w:pPr>
              <w:numPr>
                <w:ilvl w:val="0"/>
                <w:numId w:val="26"/>
              </w:numPr>
              <w:spacing w:after="60" w:line="240" w:lineRule="auto"/>
              <w:ind w:left="249" w:hanging="249"/>
              <w:rPr>
                <w:rFonts w:asciiTheme="minorHAnsi" w:hAnsiTheme="minorHAnsi" w:cstheme="minorBidi"/>
              </w:rPr>
            </w:pPr>
            <w:r w:rsidRPr="007B5CB3">
              <w:rPr>
                <w:rFonts w:asciiTheme="minorHAnsi" w:hAnsiTheme="minorHAnsi" w:cstheme="minorBidi"/>
              </w:rPr>
              <w:t xml:space="preserve">Commission on the Status of Women, </w:t>
            </w:r>
            <w:proofErr w:type="gramStart"/>
            <w:r w:rsidRPr="007B5CB3">
              <w:rPr>
                <w:rFonts w:asciiTheme="minorHAnsi" w:hAnsiTheme="minorHAnsi" w:cstheme="minorBidi"/>
              </w:rPr>
              <w:t>Agreed</w:t>
            </w:r>
            <w:proofErr w:type="gramEnd"/>
            <w:r w:rsidRPr="007B5CB3">
              <w:rPr>
                <w:rFonts w:asciiTheme="minorHAnsi" w:hAnsiTheme="minorHAnsi" w:cstheme="minorBidi"/>
              </w:rPr>
              <w:t xml:space="preserve"> </w:t>
            </w:r>
            <w:r w:rsidR="0023519C">
              <w:rPr>
                <w:rFonts w:asciiTheme="minorHAnsi" w:hAnsiTheme="minorHAnsi" w:cstheme="minorBidi"/>
              </w:rPr>
              <w:t>c</w:t>
            </w:r>
            <w:r w:rsidRPr="007B5CB3">
              <w:rPr>
                <w:rFonts w:asciiTheme="minorHAnsi" w:hAnsiTheme="minorHAnsi" w:cstheme="minorBidi"/>
              </w:rPr>
              <w:t>onclusions</w:t>
            </w:r>
            <w:r w:rsidR="004E48C0" w:rsidRPr="004E48C0">
              <w:rPr>
                <w:rFonts w:asciiTheme="minorHAnsi" w:hAnsiTheme="minorHAnsi" w:cstheme="minorBidi"/>
              </w:rPr>
              <w:t xml:space="preserve"> on </w:t>
            </w:r>
            <w:r w:rsidR="0023519C">
              <w:rPr>
                <w:rFonts w:asciiTheme="minorHAnsi" w:hAnsiTheme="minorHAnsi" w:cstheme="minorBidi"/>
              </w:rPr>
              <w:t>e</w:t>
            </w:r>
            <w:r w:rsidR="004E48C0" w:rsidRPr="004E48C0">
              <w:rPr>
                <w:rFonts w:asciiTheme="minorHAnsi" w:hAnsiTheme="minorHAnsi" w:cstheme="minorBidi"/>
              </w:rPr>
              <w:t>nsuring and strengthening access to justice for all women and girls, including by promoting inclusive and equitable legal systems, eliminating discriminatory laws, policies and practices, and addressing structural barriers</w:t>
            </w:r>
            <w:r w:rsidR="004E48C0" w:rsidRPr="004E48C0">
              <w:rPr>
                <w:rFonts w:asciiTheme="minorHAnsi" w:hAnsiTheme="minorHAnsi" w:cstheme="minorBidi"/>
                <w:i/>
                <w:iCs/>
              </w:rPr>
              <w:t xml:space="preserve"> </w:t>
            </w:r>
            <w:r w:rsidRPr="007B5CB3">
              <w:rPr>
                <w:rFonts w:asciiTheme="minorHAnsi" w:hAnsiTheme="minorHAnsi" w:cstheme="minorBidi"/>
              </w:rPr>
              <w:t>(</w:t>
            </w:r>
            <w:r w:rsidR="003B6C39">
              <w:rPr>
                <w:rFonts w:asciiTheme="minorHAnsi" w:hAnsiTheme="minorHAnsi" w:cstheme="minorBidi"/>
              </w:rPr>
              <w:t xml:space="preserve">2026, </w:t>
            </w:r>
            <w:hyperlink r:id="rId21" w:history="1">
              <w:r w:rsidRPr="007B5CB3">
                <w:rPr>
                  <w:rStyle w:val="Hyperlink"/>
                  <w:rFonts w:asciiTheme="minorHAnsi" w:hAnsiTheme="minorHAnsi" w:cstheme="minorBidi"/>
                </w:rPr>
                <w:t>E/CN.6/2026/L.2</w:t>
              </w:r>
            </w:hyperlink>
            <w:r w:rsidRPr="007B5CB3">
              <w:rPr>
                <w:rFonts w:asciiTheme="minorHAnsi" w:hAnsiTheme="minorHAnsi" w:cstheme="minorBidi"/>
              </w:rPr>
              <w:t>)</w:t>
            </w:r>
          </w:p>
          <w:p w14:paraId="19053463" w14:textId="77777777" w:rsidR="00A02EBB" w:rsidRPr="00A02EBB" w:rsidRDefault="00A02EBB" w:rsidP="00A02EBB">
            <w:pPr>
              <w:numPr>
                <w:ilvl w:val="0"/>
                <w:numId w:val="26"/>
              </w:numPr>
              <w:tabs>
                <w:tab w:val="num" w:pos="720"/>
              </w:tabs>
              <w:spacing w:after="60" w:line="240" w:lineRule="auto"/>
              <w:ind w:left="249" w:hanging="249"/>
              <w:rPr>
                <w:rFonts w:asciiTheme="minorHAnsi" w:hAnsiTheme="minorHAnsi" w:cstheme="minorBidi"/>
                <w:lang w:val="en-CH"/>
              </w:rPr>
            </w:pPr>
            <w:r w:rsidRPr="001F500D">
              <w:rPr>
                <w:rFonts w:asciiTheme="minorHAnsi" w:hAnsiTheme="minorHAnsi" w:cstheme="minorBidi"/>
              </w:rPr>
              <w:t>Committee on Economic, Social and Cultural Rights, General Comment No. 18 (2006) on the right to work</w:t>
            </w:r>
            <w:r w:rsidRPr="00A02EBB">
              <w:rPr>
                <w:rFonts w:asciiTheme="minorHAnsi" w:hAnsiTheme="minorHAnsi" w:cstheme="minorBidi"/>
                <w:u w:val="single"/>
              </w:rPr>
              <w:t> (</w:t>
            </w:r>
            <w:hyperlink r:id="rId22" w:tgtFrame="_blank" w:history="1">
              <w:r w:rsidRPr="00A02EBB">
                <w:rPr>
                  <w:rStyle w:val="Hyperlink"/>
                  <w:rFonts w:asciiTheme="minorHAnsi" w:hAnsiTheme="minorHAnsi" w:cstheme="minorBidi"/>
                </w:rPr>
                <w:t>E/C.12/GC/18</w:t>
              </w:r>
            </w:hyperlink>
            <w:r w:rsidRPr="00A02EBB">
              <w:rPr>
                <w:rFonts w:asciiTheme="minorHAnsi" w:hAnsiTheme="minorHAnsi" w:cstheme="minorBidi"/>
                <w:u w:val="single"/>
              </w:rPr>
              <w:t>)</w:t>
            </w:r>
            <w:r w:rsidRPr="00A02EBB">
              <w:rPr>
                <w:rFonts w:asciiTheme="minorHAnsi" w:hAnsiTheme="minorHAnsi" w:cstheme="minorBidi"/>
                <w:lang w:val="en-CH"/>
              </w:rPr>
              <w:t> </w:t>
            </w:r>
          </w:p>
          <w:p w14:paraId="0F85D4E7" w14:textId="34ED6DAE" w:rsidR="00A02EBB" w:rsidRPr="001F500D" w:rsidRDefault="00A02EBB" w:rsidP="001F500D">
            <w:pPr>
              <w:numPr>
                <w:ilvl w:val="0"/>
                <w:numId w:val="26"/>
              </w:numPr>
              <w:tabs>
                <w:tab w:val="num" w:pos="720"/>
              </w:tabs>
              <w:spacing w:after="60" w:line="240" w:lineRule="auto"/>
              <w:ind w:left="249" w:hanging="249"/>
              <w:rPr>
                <w:rFonts w:asciiTheme="minorHAnsi" w:hAnsiTheme="minorHAnsi" w:cstheme="minorBidi"/>
                <w:lang w:val="en-CH"/>
              </w:rPr>
            </w:pPr>
            <w:r w:rsidRPr="001F500D">
              <w:rPr>
                <w:rFonts w:asciiTheme="minorHAnsi" w:hAnsiTheme="minorHAnsi" w:cstheme="minorBidi"/>
              </w:rPr>
              <w:t>Committee on Economic, Social and Cultural Rights, General Comment No. 23 (2016) on the right to just and favourable conditions of work</w:t>
            </w:r>
            <w:r w:rsidRPr="00A02EBB">
              <w:rPr>
                <w:rFonts w:asciiTheme="minorHAnsi" w:hAnsiTheme="minorHAnsi" w:cstheme="minorBidi"/>
                <w:u w:val="single"/>
              </w:rPr>
              <w:t> (</w:t>
            </w:r>
            <w:hyperlink r:id="rId23" w:tgtFrame="_blank" w:history="1">
              <w:r w:rsidRPr="00A02EBB">
                <w:rPr>
                  <w:rStyle w:val="Hyperlink"/>
                  <w:rFonts w:asciiTheme="minorHAnsi" w:hAnsiTheme="minorHAnsi" w:cstheme="minorBidi"/>
                </w:rPr>
                <w:t>E/C.12/GC/23</w:t>
              </w:r>
            </w:hyperlink>
            <w:r w:rsidRPr="00A02EBB">
              <w:rPr>
                <w:rFonts w:asciiTheme="minorHAnsi" w:hAnsiTheme="minorHAnsi" w:cstheme="minorBidi"/>
                <w:u w:val="single"/>
              </w:rPr>
              <w:t>)</w:t>
            </w:r>
            <w:r w:rsidRPr="00A02EBB">
              <w:rPr>
                <w:rFonts w:asciiTheme="minorHAnsi" w:hAnsiTheme="minorHAnsi" w:cstheme="minorBidi"/>
                <w:lang w:val="en-CH"/>
              </w:rPr>
              <w:t> </w:t>
            </w:r>
          </w:p>
          <w:p w14:paraId="4374A950" w14:textId="272EC1BB" w:rsidR="00353271" w:rsidRDefault="00353271" w:rsidP="004E6E6F">
            <w:pPr>
              <w:numPr>
                <w:ilvl w:val="0"/>
                <w:numId w:val="26"/>
              </w:numPr>
              <w:spacing w:after="60" w:line="240" w:lineRule="auto"/>
              <w:ind w:left="249" w:hanging="249"/>
              <w:rPr>
                <w:rFonts w:asciiTheme="minorHAnsi" w:hAnsiTheme="minorHAnsi" w:cstheme="minorBidi"/>
              </w:rPr>
            </w:pPr>
            <w:r w:rsidRPr="00353271">
              <w:rPr>
                <w:rFonts w:asciiTheme="minorHAnsi" w:hAnsiTheme="minorHAnsi" w:cstheme="minorBidi"/>
              </w:rPr>
              <w:t xml:space="preserve">Report of the International Labour Organization (ILO) on </w:t>
            </w:r>
            <w:r w:rsidR="002B5217">
              <w:rPr>
                <w:rFonts w:asciiTheme="minorHAnsi" w:hAnsiTheme="minorHAnsi" w:cstheme="minorBidi"/>
              </w:rPr>
              <w:t>a</w:t>
            </w:r>
            <w:r w:rsidRPr="00353271">
              <w:rPr>
                <w:rFonts w:asciiTheme="minorHAnsi" w:hAnsiTheme="minorHAnsi" w:cstheme="minorBidi"/>
              </w:rPr>
              <w:t xml:space="preserve">dvancing the transformative agenda for gender equality in the world of work (2026, </w:t>
            </w:r>
            <w:hyperlink r:id="rId24" w:history="1">
              <w:r w:rsidRPr="005273EE">
                <w:rPr>
                  <w:rStyle w:val="Hyperlink"/>
                  <w:rFonts w:asciiTheme="minorHAnsi" w:hAnsiTheme="minorHAnsi" w:cstheme="minorBidi"/>
                </w:rPr>
                <w:t>ILC.114/Report VI</w:t>
              </w:r>
            </w:hyperlink>
            <w:r w:rsidRPr="00353271">
              <w:rPr>
                <w:rFonts w:asciiTheme="minorHAnsi" w:hAnsiTheme="minorHAnsi" w:cstheme="minorBidi"/>
              </w:rPr>
              <w:t>)</w:t>
            </w:r>
          </w:p>
          <w:p w14:paraId="560891D7" w14:textId="44F74CBD" w:rsidR="009B3005" w:rsidRPr="00353271" w:rsidRDefault="009B3005" w:rsidP="004E6E6F">
            <w:pPr>
              <w:numPr>
                <w:ilvl w:val="0"/>
                <w:numId w:val="26"/>
              </w:numPr>
              <w:spacing w:after="60" w:line="240" w:lineRule="auto"/>
              <w:ind w:left="249" w:hanging="249"/>
              <w:rPr>
                <w:rFonts w:asciiTheme="minorHAnsi" w:hAnsiTheme="minorHAnsi" w:cstheme="minorBidi"/>
              </w:rPr>
            </w:pPr>
            <w:r>
              <w:rPr>
                <w:rFonts w:asciiTheme="minorHAnsi" w:hAnsiTheme="minorHAnsi" w:cstheme="minorBidi"/>
              </w:rPr>
              <w:t xml:space="preserve">UN Women, </w:t>
            </w:r>
            <w:hyperlink r:id="rId25" w:history="1">
              <w:r w:rsidR="003206F6" w:rsidRPr="00424B2B">
                <w:rPr>
                  <w:rStyle w:val="Hyperlink"/>
                  <w:rFonts w:asciiTheme="minorHAnsi" w:hAnsiTheme="minorHAnsi" w:cstheme="minorBidi"/>
                </w:rPr>
                <w:t xml:space="preserve">Policy </w:t>
              </w:r>
              <w:r w:rsidR="00825489" w:rsidRPr="00424B2B">
                <w:rPr>
                  <w:rStyle w:val="Hyperlink"/>
                  <w:rFonts w:asciiTheme="minorHAnsi" w:hAnsiTheme="minorHAnsi" w:cstheme="minorBidi"/>
                </w:rPr>
                <w:t>paper on Women in the Diplomatic Corps: Normative Frameworks, Structural Barriers and Policy Recommendations</w:t>
              </w:r>
            </w:hyperlink>
            <w:r w:rsidR="00825489">
              <w:rPr>
                <w:rFonts w:asciiTheme="minorHAnsi" w:hAnsiTheme="minorHAnsi" w:cstheme="minorBidi"/>
              </w:rPr>
              <w:t xml:space="preserve"> </w:t>
            </w:r>
            <w:r w:rsidR="003206F6">
              <w:rPr>
                <w:rFonts w:asciiTheme="minorHAnsi" w:hAnsiTheme="minorHAnsi" w:cstheme="minorBidi"/>
              </w:rPr>
              <w:t>(2026)</w:t>
            </w:r>
          </w:p>
          <w:p w14:paraId="0ED1E94D" w14:textId="47CAFAE6" w:rsidR="00D3098F" w:rsidRPr="00045B67" w:rsidRDefault="00717D59" w:rsidP="004E6E6F">
            <w:pPr>
              <w:numPr>
                <w:ilvl w:val="0"/>
                <w:numId w:val="26"/>
              </w:numPr>
              <w:spacing w:after="60" w:line="240" w:lineRule="auto"/>
              <w:ind w:left="249" w:hanging="249"/>
              <w:rPr>
                <w:rFonts w:asciiTheme="minorHAnsi" w:hAnsiTheme="minorHAnsi" w:cstheme="minorBidi"/>
              </w:rPr>
            </w:pPr>
            <w:r w:rsidRPr="00DB26E8">
              <w:t xml:space="preserve">United Nations Development Programme </w:t>
            </w:r>
            <w:r w:rsidR="00F34A30">
              <w:t xml:space="preserve">and University of Pittsburgh, </w:t>
            </w:r>
            <w:hyperlink r:id="rId26" w:history="1">
              <w:r w:rsidRPr="005273EE">
                <w:rPr>
                  <w:rStyle w:val="Hyperlink"/>
                </w:rPr>
                <w:t>Global Report on Gender Equality in Public Administration</w:t>
              </w:r>
            </w:hyperlink>
            <w:r w:rsidR="00F34A30">
              <w:t xml:space="preserve"> (2021)</w:t>
            </w:r>
            <w:r w:rsidRPr="00F34A30">
              <w:t xml:space="preserve"> </w:t>
            </w:r>
          </w:p>
          <w:p w14:paraId="08A39C91" w14:textId="77777777" w:rsidR="00FF6338" w:rsidRDefault="00E5202A" w:rsidP="00720A74">
            <w:pPr>
              <w:numPr>
                <w:ilvl w:val="0"/>
                <w:numId w:val="26"/>
              </w:numPr>
              <w:spacing w:after="60" w:line="240" w:lineRule="auto"/>
              <w:ind w:left="249" w:hanging="249"/>
              <w:rPr>
                <w:rFonts w:asciiTheme="minorHAnsi" w:hAnsiTheme="minorHAnsi" w:cstheme="minorBidi"/>
              </w:rPr>
            </w:pPr>
            <w:r>
              <w:rPr>
                <w:rFonts w:asciiTheme="minorHAnsi" w:hAnsiTheme="minorHAnsi" w:cstheme="minorBidi"/>
              </w:rPr>
              <w:t xml:space="preserve">Report of the </w:t>
            </w:r>
            <w:r w:rsidR="00FB1E15" w:rsidRPr="00832234">
              <w:rPr>
                <w:rFonts w:asciiTheme="minorHAnsi" w:hAnsiTheme="minorHAnsi" w:cstheme="minorBidi"/>
              </w:rPr>
              <w:t xml:space="preserve">United Nations High Commissioner for Human Rights on the </w:t>
            </w:r>
            <w:r w:rsidR="002B5217" w:rsidRPr="00832234">
              <w:rPr>
                <w:rFonts w:asciiTheme="minorHAnsi" w:hAnsiTheme="minorHAnsi" w:cstheme="minorBidi"/>
              </w:rPr>
              <w:t>r</w:t>
            </w:r>
            <w:r w:rsidR="00FB1E15" w:rsidRPr="00832234">
              <w:rPr>
                <w:rFonts w:asciiTheme="minorHAnsi" w:hAnsiTheme="minorHAnsi" w:cstheme="minorBidi"/>
              </w:rPr>
              <w:t xml:space="preserve">ealization </w:t>
            </w:r>
            <w:r w:rsidR="00C2774C" w:rsidRPr="00832234">
              <w:rPr>
                <w:rFonts w:asciiTheme="minorHAnsi" w:hAnsiTheme="minorHAnsi" w:cstheme="minorBidi"/>
              </w:rPr>
              <w:t xml:space="preserve">of </w:t>
            </w:r>
            <w:r w:rsidR="00DF7477" w:rsidRPr="00832234">
              <w:rPr>
                <w:rFonts w:asciiTheme="minorHAnsi" w:hAnsiTheme="minorHAnsi" w:cstheme="minorBidi"/>
              </w:rPr>
              <w:t>the</w:t>
            </w:r>
            <w:r w:rsidR="00FB1E15" w:rsidRPr="00832234">
              <w:rPr>
                <w:rFonts w:asciiTheme="minorHAnsi" w:hAnsiTheme="minorHAnsi" w:cstheme="minorBidi"/>
              </w:rPr>
              <w:t xml:space="preserve"> right to work</w:t>
            </w:r>
            <w:r w:rsidR="007D0031" w:rsidRPr="00832234">
              <w:rPr>
                <w:rFonts w:asciiTheme="minorHAnsi" w:hAnsiTheme="minorHAnsi" w:cstheme="minorBidi"/>
              </w:rPr>
              <w:t xml:space="preserve"> (201</w:t>
            </w:r>
            <w:r w:rsidR="00045B67">
              <w:rPr>
                <w:rFonts w:asciiTheme="minorHAnsi" w:hAnsiTheme="minorHAnsi" w:cstheme="minorBidi"/>
              </w:rPr>
              <w:t>6</w:t>
            </w:r>
            <w:r w:rsidR="007D0031" w:rsidRPr="00832234">
              <w:rPr>
                <w:rFonts w:asciiTheme="minorHAnsi" w:hAnsiTheme="minorHAnsi" w:cstheme="minorBidi"/>
              </w:rPr>
              <w:t xml:space="preserve">, </w:t>
            </w:r>
            <w:hyperlink r:id="rId27" w:history="1">
              <w:r w:rsidR="00FB1E15" w:rsidRPr="00832234">
                <w:rPr>
                  <w:rStyle w:val="Hyperlink"/>
                  <w:rFonts w:asciiTheme="minorHAnsi" w:hAnsiTheme="minorHAnsi" w:cstheme="minorBidi"/>
                </w:rPr>
                <w:t>A/HRC/34/29</w:t>
              </w:r>
            </w:hyperlink>
            <w:r w:rsidR="00FB1E15" w:rsidRPr="00832234">
              <w:rPr>
                <w:rFonts w:asciiTheme="minorHAnsi" w:hAnsiTheme="minorHAnsi" w:cstheme="minorBidi"/>
              </w:rPr>
              <w:t>)</w:t>
            </w:r>
          </w:p>
          <w:p w14:paraId="2EEDE5B3" w14:textId="0AC85B9B" w:rsidR="00F521E8" w:rsidRDefault="00F521E8" w:rsidP="00F521E8">
            <w:pPr>
              <w:numPr>
                <w:ilvl w:val="0"/>
                <w:numId w:val="26"/>
              </w:numPr>
              <w:spacing w:after="60" w:line="240" w:lineRule="auto"/>
              <w:ind w:left="249" w:hanging="249"/>
              <w:rPr>
                <w:rFonts w:asciiTheme="minorHAnsi" w:hAnsiTheme="minorHAnsi" w:cstheme="minorBidi"/>
              </w:rPr>
            </w:pPr>
            <w:r w:rsidRPr="00F521E8">
              <w:rPr>
                <w:rFonts w:asciiTheme="minorHAnsi" w:hAnsiTheme="minorHAnsi" w:cstheme="minorBidi"/>
              </w:rPr>
              <w:t>Committee on the Elimination of Discrimination against Women, General recommendation No. </w:t>
            </w:r>
            <w:r>
              <w:rPr>
                <w:rFonts w:asciiTheme="minorHAnsi" w:hAnsiTheme="minorHAnsi" w:cstheme="minorBidi"/>
              </w:rPr>
              <w:t>23</w:t>
            </w:r>
            <w:r w:rsidRPr="00F521E8">
              <w:rPr>
                <w:rFonts w:asciiTheme="minorHAnsi" w:hAnsiTheme="minorHAnsi" w:cstheme="minorBidi"/>
              </w:rPr>
              <w:t xml:space="preserve"> (</w:t>
            </w:r>
            <w:r w:rsidR="00DB1ED4">
              <w:rPr>
                <w:rFonts w:asciiTheme="minorHAnsi" w:hAnsiTheme="minorHAnsi" w:cstheme="minorBidi"/>
              </w:rPr>
              <w:t>1997</w:t>
            </w:r>
            <w:r w:rsidRPr="00F521E8">
              <w:rPr>
                <w:rFonts w:asciiTheme="minorHAnsi" w:hAnsiTheme="minorHAnsi" w:cstheme="minorBidi"/>
              </w:rPr>
              <w:t xml:space="preserve">) on </w:t>
            </w:r>
            <w:r w:rsidR="00317288">
              <w:rPr>
                <w:rFonts w:asciiTheme="minorHAnsi" w:hAnsiTheme="minorHAnsi" w:cstheme="minorBidi"/>
              </w:rPr>
              <w:t>political and public life</w:t>
            </w:r>
            <w:r w:rsidRPr="00F521E8">
              <w:rPr>
                <w:rFonts w:asciiTheme="minorHAnsi" w:hAnsiTheme="minorHAnsi" w:cstheme="minorBidi"/>
              </w:rPr>
              <w:t xml:space="preserve"> (</w:t>
            </w:r>
            <w:hyperlink r:id="rId28" w:history="1">
              <w:r w:rsidR="00AF6EBC" w:rsidRPr="00AF6EBC">
                <w:rPr>
                  <w:rStyle w:val="Hyperlink"/>
                  <w:rFonts w:asciiTheme="minorHAnsi" w:hAnsiTheme="minorHAnsi" w:cstheme="minorBidi"/>
                </w:rPr>
                <w:t>A/52/38/Rev.1</w:t>
              </w:r>
            </w:hyperlink>
            <w:r w:rsidRPr="00F521E8">
              <w:rPr>
                <w:rFonts w:asciiTheme="minorHAnsi" w:hAnsiTheme="minorHAnsi" w:cstheme="minorBidi"/>
              </w:rPr>
              <w:t>) </w:t>
            </w:r>
          </w:p>
          <w:p w14:paraId="56632CA6" w14:textId="0E29B8CD" w:rsidR="006F12D0" w:rsidRPr="00B47F65" w:rsidRDefault="00170664" w:rsidP="00720A74">
            <w:pPr>
              <w:numPr>
                <w:ilvl w:val="0"/>
                <w:numId w:val="26"/>
              </w:numPr>
              <w:spacing w:after="60" w:line="240" w:lineRule="auto"/>
              <w:ind w:left="249" w:hanging="249"/>
              <w:rPr>
                <w:rFonts w:asciiTheme="minorHAnsi" w:hAnsiTheme="minorHAnsi" w:cstheme="minorBidi"/>
              </w:rPr>
            </w:pPr>
            <w:r>
              <w:rPr>
                <w:rFonts w:asciiTheme="minorHAnsi" w:hAnsiTheme="minorHAnsi" w:cstheme="minorBidi"/>
              </w:rPr>
              <w:t xml:space="preserve">United Nations General Assembly, </w:t>
            </w:r>
            <w:r w:rsidR="006F12D0" w:rsidRPr="006F12D0">
              <w:rPr>
                <w:rFonts w:asciiTheme="minorHAnsi" w:hAnsiTheme="minorHAnsi" w:cstheme="minorBidi"/>
              </w:rPr>
              <w:t xml:space="preserve">Convention on the Elimination of All Forms of Discrimination against Women </w:t>
            </w:r>
            <w:r w:rsidR="005B2C1D">
              <w:rPr>
                <w:rFonts w:asciiTheme="minorHAnsi" w:hAnsiTheme="minorHAnsi" w:cstheme="minorBidi"/>
              </w:rPr>
              <w:t>(</w:t>
            </w:r>
            <w:r>
              <w:rPr>
                <w:rFonts w:asciiTheme="minorHAnsi" w:hAnsiTheme="minorHAnsi" w:cstheme="minorBidi"/>
              </w:rPr>
              <w:t>1979</w:t>
            </w:r>
            <w:r w:rsidR="005B2C1D">
              <w:rPr>
                <w:rFonts w:asciiTheme="minorHAnsi" w:hAnsiTheme="minorHAnsi" w:cstheme="minorBidi"/>
              </w:rPr>
              <w:t>)</w:t>
            </w:r>
          </w:p>
        </w:tc>
      </w:tr>
    </w:tbl>
    <w:p w14:paraId="5F944FE4" w14:textId="77777777" w:rsidR="00855161" w:rsidRPr="003F65AB" w:rsidRDefault="00855161" w:rsidP="0018727D">
      <w:pPr>
        <w:spacing w:after="60" w:line="240" w:lineRule="auto"/>
        <w:rPr>
          <w:rFonts w:asciiTheme="minorHAnsi" w:hAnsiTheme="minorHAnsi" w:cstheme="minorHAnsi"/>
          <w:b/>
          <w:sz w:val="20"/>
          <w:szCs w:val="20"/>
          <w:u w:val="single"/>
        </w:rPr>
      </w:pPr>
    </w:p>
    <w:sectPr w:rsidR="00855161" w:rsidRPr="003F65AB" w:rsidSect="00B42B62">
      <w:footerReference w:type="default" r:id="rId29"/>
      <w:pgSz w:w="11906" w:h="16838"/>
      <w:pgMar w:top="709"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9724" w14:textId="77777777" w:rsidR="0070275E" w:rsidRDefault="0070275E" w:rsidP="002F2CB9">
      <w:pPr>
        <w:spacing w:after="0" w:line="240" w:lineRule="auto"/>
      </w:pPr>
      <w:r>
        <w:separator/>
      </w:r>
    </w:p>
  </w:endnote>
  <w:endnote w:type="continuationSeparator" w:id="0">
    <w:p w14:paraId="5FA1B14B" w14:textId="77777777" w:rsidR="0070275E" w:rsidRDefault="0070275E" w:rsidP="002F2CB9">
      <w:pPr>
        <w:spacing w:after="0" w:line="240" w:lineRule="auto"/>
      </w:pPr>
      <w:r>
        <w:continuationSeparator/>
      </w:r>
    </w:p>
  </w:endnote>
  <w:endnote w:type="continuationNotice" w:id="1">
    <w:p w14:paraId="0F92BB5A" w14:textId="77777777" w:rsidR="0070275E" w:rsidRDefault="00702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1DD5" w14:textId="66ADC71C" w:rsidR="00861631" w:rsidRDefault="00861631" w:rsidP="008E58B5">
    <w:pPr>
      <w:pStyle w:val="Footer"/>
      <w:jc w:val="center"/>
    </w:pPr>
    <w:r>
      <w:fldChar w:fldCharType="begin"/>
    </w:r>
    <w:r>
      <w:instrText xml:space="preserve"> PAGE   \* MERGEFORMAT </w:instrText>
    </w:r>
    <w:r>
      <w:fldChar w:fldCharType="separate"/>
    </w:r>
    <w:r w:rsidR="00EF26C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012D" w14:textId="77777777" w:rsidR="0070275E" w:rsidRDefault="0070275E" w:rsidP="002F2CB9">
      <w:pPr>
        <w:spacing w:after="0" w:line="240" w:lineRule="auto"/>
      </w:pPr>
      <w:r>
        <w:separator/>
      </w:r>
    </w:p>
  </w:footnote>
  <w:footnote w:type="continuationSeparator" w:id="0">
    <w:p w14:paraId="1B9301E0" w14:textId="77777777" w:rsidR="0070275E" w:rsidRDefault="0070275E" w:rsidP="002F2CB9">
      <w:pPr>
        <w:spacing w:after="0" w:line="240" w:lineRule="auto"/>
      </w:pPr>
      <w:r>
        <w:continuationSeparator/>
      </w:r>
    </w:p>
  </w:footnote>
  <w:footnote w:type="continuationNotice" w:id="1">
    <w:p w14:paraId="457C6288" w14:textId="77777777" w:rsidR="0070275E" w:rsidRDefault="0070275E">
      <w:pPr>
        <w:spacing w:after="0" w:line="240" w:lineRule="auto"/>
      </w:pPr>
    </w:p>
  </w:footnote>
  <w:footnote w:id="2">
    <w:p w14:paraId="390C4FA9" w14:textId="48DC5978" w:rsidR="00EB0593" w:rsidRPr="004A05BC" w:rsidRDefault="00EB0593" w:rsidP="004A05BC">
      <w:pPr>
        <w:pStyle w:val="FootnoteText"/>
        <w:spacing w:after="0" w:line="240" w:lineRule="auto"/>
        <w:ind w:right="-188"/>
        <w:jc w:val="both"/>
        <w:rPr>
          <w:sz w:val="18"/>
          <w:szCs w:val="18"/>
        </w:rPr>
      </w:pPr>
      <w:r w:rsidRPr="00592166">
        <w:rPr>
          <w:rStyle w:val="FootnoteReference"/>
          <w:sz w:val="18"/>
          <w:szCs w:val="18"/>
        </w:rPr>
        <w:footnoteRef/>
      </w:r>
      <w:r w:rsidRPr="00592166">
        <w:rPr>
          <w:sz w:val="18"/>
          <w:szCs w:val="18"/>
        </w:rPr>
        <w:t xml:space="preserve"> </w:t>
      </w:r>
      <w:r w:rsidR="006C1C0C" w:rsidRPr="004A05BC">
        <w:rPr>
          <w:sz w:val="18"/>
          <w:szCs w:val="18"/>
        </w:rPr>
        <w:t>ILO r</w:t>
      </w:r>
      <w:r w:rsidRPr="004A05BC">
        <w:rPr>
          <w:sz w:val="18"/>
          <w:szCs w:val="18"/>
        </w:rPr>
        <w:t xml:space="preserve">eport </w:t>
      </w:r>
      <w:r w:rsidRPr="004A05BC">
        <w:rPr>
          <w:i/>
          <w:iCs/>
          <w:sz w:val="18"/>
          <w:szCs w:val="18"/>
        </w:rPr>
        <w:t>Advancing the transformative agenda for gender equality in the world of work</w:t>
      </w:r>
      <w:r w:rsidRPr="004A05BC">
        <w:rPr>
          <w:sz w:val="18"/>
          <w:szCs w:val="18"/>
        </w:rPr>
        <w:t xml:space="preserve"> (2026, ILC.114/Report VI), para</w:t>
      </w:r>
      <w:r w:rsidR="00032728" w:rsidRPr="004A05BC">
        <w:rPr>
          <w:sz w:val="18"/>
          <w:szCs w:val="18"/>
        </w:rPr>
        <w:t>.</w:t>
      </w:r>
      <w:r w:rsidRPr="004A05BC">
        <w:rPr>
          <w:sz w:val="18"/>
          <w:szCs w:val="18"/>
        </w:rPr>
        <w:t xml:space="preserve"> 17.</w:t>
      </w:r>
    </w:p>
  </w:footnote>
  <w:footnote w:id="3">
    <w:p w14:paraId="2858E495" w14:textId="5D59A5EC" w:rsidR="00EB0593" w:rsidRPr="004A05BC" w:rsidRDefault="00EB0593" w:rsidP="004A05BC">
      <w:pPr>
        <w:pStyle w:val="FootnoteText"/>
        <w:spacing w:after="0" w:line="240" w:lineRule="auto"/>
        <w:rPr>
          <w:sz w:val="18"/>
          <w:szCs w:val="18"/>
          <w:lang w:val="en-US"/>
        </w:rPr>
      </w:pPr>
      <w:r w:rsidRPr="004A05BC">
        <w:rPr>
          <w:rStyle w:val="FootnoteReference"/>
          <w:sz w:val="18"/>
          <w:szCs w:val="18"/>
        </w:rPr>
        <w:footnoteRef/>
      </w:r>
      <w:r w:rsidRPr="004A05BC">
        <w:rPr>
          <w:sz w:val="18"/>
          <w:szCs w:val="18"/>
        </w:rPr>
        <w:t xml:space="preserve"> </w:t>
      </w:r>
      <w:r w:rsidR="00F81718" w:rsidRPr="004A05BC">
        <w:rPr>
          <w:sz w:val="18"/>
          <w:szCs w:val="18"/>
        </w:rPr>
        <w:t>ILO r</w:t>
      </w:r>
      <w:r w:rsidRPr="004A05BC">
        <w:rPr>
          <w:sz w:val="18"/>
          <w:szCs w:val="18"/>
        </w:rPr>
        <w:t xml:space="preserve">eport </w:t>
      </w:r>
      <w:r w:rsidRPr="004A05BC">
        <w:rPr>
          <w:i/>
          <w:iCs/>
          <w:sz w:val="18"/>
          <w:szCs w:val="18"/>
        </w:rPr>
        <w:t>Decent work and the care economy</w:t>
      </w:r>
      <w:r w:rsidRPr="004A05BC">
        <w:rPr>
          <w:sz w:val="18"/>
          <w:szCs w:val="18"/>
        </w:rPr>
        <w:t xml:space="preserve"> (2024, ILC.112/Report VI), para 54.</w:t>
      </w:r>
    </w:p>
  </w:footnote>
  <w:footnote w:id="4">
    <w:p w14:paraId="0FE3B9AF" w14:textId="13820D9D" w:rsidR="006C6B8F" w:rsidRPr="00BF44E1" w:rsidRDefault="006C6B8F" w:rsidP="004A05BC">
      <w:pPr>
        <w:pStyle w:val="FootnoteText"/>
        <w:spacing w:after="0" w:line="240" w:lineRule="auto"/>
        <w:rPr>
          <w:sz w:val="18"/>
          <w:szCs w:val="18"/>
        </w:rPr>
      </w:pPr>
      <w:r w:rsidRPr="004A05BC">
        <w:rPr>
          <w:rStyle w:val="FootnoteReference"/>
          <w:sz w:val="18"/>
          <w:szCs w:val="18"/>
        </w:rPr>
        <w:footnoteRef/>
      </w:r>
      <w:r w:rsidRPr="004A05BC">
        <w:rPr>
          <w:sz w:val="18"/>
          <w:szCs w:val="18"/>
        </w:rPr>
        <w:t xml:space="preserve"> </w:t>
      </w:r>
      <w:r w:rsidR="00C31A33" w:rsidRPr="00BF44E1">
        <w:rPr>
          <w:sz w:val="18"/>
          <w:szCs w:val="18"/>
        </w:rPr>
        <w:t xml:space="preserve">CEDAW Committee’s </w:t>
      </w:r>
      <w:r w:rsidR="00C31A33" w:rsidRPr="00BF44E1">
        <w:rPr>
          <w:rFonts w:asciiTheme="minorHAnsi" w:hAnsiTheme="minorHAnsi" w:cstheme="minorBidi"/>
          <w:sz w:val="18"/>
          <w:szCs w:val="18"/>
        </w:rPr>
        <w:t xml:space="preserve">General recommendation No. 40 on the equal and inclusive representation of women in decision-making systems </w:t>
      </w:r>
      <w:r w:rsidR="004A05BC" w:rsidRPr="00BF44E1">
        <w:rPr>
          <w:rFonts w:asciiTheme="minorHAnsi" w:hAnsiTheme="minorHAnsi" w:cstheme="minorBidi"/>
          <w:sz w:val="18"/>
          <w:szCs w:val="18"/>
        </w:rPr>
        <w:t>(CEDAW/C/GC/40</w:t>
      </w:r>
      <w:r w:rsidR="00C31A33" w:rsidRPr="00BF44E1">
        <w:rPr>
          <w:rFonts w:asciiTheme="minorHAnsi" w:hAnsiTheme="minorHAnsi" w:cstheme="minorBidi"/>
          <w:sz w:val="18"/>
          <w:szCs w:val="18"/>
        </w:rPr>
        <w:t>), para</w:t>
      </w:r>
      <w:r w:rsidR="004A05BC" w:rsidRPr="00BF44E1">
        <w:rPr>
          <w:rFonts w:asciiTheme="minorHAnsi" w:hAnsiTheme="minorHAnsi" w:cstheme="minorBidi"/>
          <w:sz w:val="18"/>
          <w:szCs w:val="18"/>
        </w:rPr>
        <w:t>s. 27-28.</w:t>
      </w:r>
    </w:p>
  </w:footnote>
  <w:footnote w:id="5">
    <w:p w14:paraId="7545E7F7" w14:textId="533F3EE7" w:rsidR="00EB0593" w:rsidRPr="00BF44E1" w:rsidRDefault="00EB0593" w:rsidP="004A05BC">
      <w:pPr>
        <w:pStyle w:val="FootnoteText"/>
        <w:spacing w:after="0" w:line="240" w:lineRule="auto"/>
        <w:jc w:val="both"/>
        <w:rPr>
          <w:sz w:val="18"/>
          <w:szCs w:val="18"/>
        </w:rPr>
      </w:pPr>
      <w:r w:rsidRPr="00BF44E1">
        <w:rPr>
          <w:rStyle w:val="FootnoteReference"/>
          <w:sz w:val="18"/>
          <w:szCs w:val="18"/>
        </w:rPr>
        <w:footnoteRef/>
      </w:r>
      <w:r w:rsidR="00592166" w:rsidRPr="00BF44E1">
        <w:rPr>
          <w:sz w:val="18"/>
          <w:szCs w:val="18"/>
        </w:rPr>
        <w:t xml:space="preserve"> </w:t>
      </w:r>
      <w:r w:rsidRPr="00BF44E1">
        <w:rPr>
          <w:sz w:val="18"/>
          <w:szCs w:val="18"/>
        </w:rPr>
        <w:t>ILO</w:t>
      </w:r>
      <w:r w:rsidR="00F47F66" w:rsidRPr="00BF44E1">
        <w:rPr>
          <w:sz w:val="18"/>
          <w:szCs w:val="18"/>
        </w:rPr>
        <w:t xml:space="preserve"> report </w:t>
      </w:r>
      <w:r w:rsidRPr="00BF44E1">
        <w:rPr>
          <w:i/>
          <w:iCs/>
          <w:sz w:val="18"/>
          <w:szCs w:val="18"/>
        </w:rPr>
        <w:t>Advancing the transformative agenda for gender equality in the world of work</w:t>
      </w:r>
      <w:r w:rsidRPr="00BF44E1">
        <w:rPr>
          <w:sz w:val="18"/>
          <w:szCs w:val="18"/>
        </w:rPr>
        <w:t xml:space="preserve"> (2026), para. 38.</w:t>
      </w:r>
    </w:p>
  </w:footnote>
  <w:footnote w:id="6">
    <w:p w14:paraId="15E0E5A5" w14:textId="5B5247AB" w:rsidR="00EB0593" w:rsidRPr="00BF44E1" w:rsidRDefault="00EB0593" w:rsidP="004A05BC">
      <w:pPr>
        <w:pStyle w:val="FootnoteText"/>
        <w:spacing w:after="0" w:line="240" w:lineRule="auto"/>
        <w:ind w:right="-472"/>
        <w:rPr>
          <w:sz w:val="18"/>
          <w:szCs w:val="18"/>
          <w:lang w:val="en-US"/>
        </w:rPr>
      </w:pPr>
      <w:r w:rsidRPr="00BF44E1">
        <w:rPr>
          <w:rStyle w:val="FootnoteReference"/>
          <w:sz w:val="18"/>
          <w:szCs w:val="18"/>
        </w:rPr>
        <w:footnoteRef/>
      </w:r>
      <w:r w:rsidRPr="00BF44E1">
        <w:rPr>
          <w:sz w:val="18"/>
          <w:szCs w:val="18"/>
        </w:rPr>
        <w:t xml:space="preserve"> </w:t>
      </w:r>
      <w:r w:rsidR="00F47F66" w:rsidRPr="00BF44E1">
        <w:rPr>
          <w:sz w:val="18"/>
          <w:szCs w:val="18"/>
        </w:rPr>
        <w:t>ILO r</w:t>
      </w:r>
      <w:r w:rsidRPr="00BF44E1">
        <w:rPr>
          <w:sz w:val="18"/>
          <w:szCs w:val="18"/>
        </w:rPr>
        <w:t xml:space="preserve">eport on </w:t>
      </w:r>
      <w:r w:rsidRPr="00BF44E1">
        <w:rPr>
          <w:i/>
          <w:iCs/>
          <w:sz w:val="18"/>
          <w:szCs w:val="18"/>
        </w:rPr>
        <w:t>Advancing the transformative agenda for gender equality in the world of work</w:t>
      </w:r>
      <w:r w:rsidRPr="00BF44E1">
        <w:rPr>
          <w:sz w:val="18"/>
          <w:szCs w:val="18"/>
        </w:rPr>
        <w:t xml:space="preserve"> (2026, ILC.114/Report VI), para 54.</w:t>
      </w:r>
    </w:p>
  </w:footnote>
  <w:footnote w:id="7">
    <w:p w14:paraId="5C5D64B4" w14:textId="27C2275A" w:rsidR="007C7B2C" w:rsidRPr="007C7B2C" w:rsidRDefault="007C7B2C" w:rsidP="00E65CFF">
      <w:pPr>
        <w:pStyle w:val="FootnoteText"/>
        <w:spacing w:after="0"/>
      </w:pPr>
      <w:r w:rsidRPr="00BF44E1">
        <w:rPr>
          <w:rStyle w:val="FootnoteReference"/>
          <w:sz w:val="18"/>
          <w:szCs w:val="18"/>
        </w:rPr>
        <w:footnoteRef/>
      </w:r>
      <w:r w:rsidRPr="00BF44E1">
        <w:rPr>
          <w:sz w:val="18"/>
          <w:szCs w:val="18"/>
        </w:rPr>
        <w:t xml:space="preserve"> </w:t>
      </w:r>
      <w:hyperlink r:id="rId1" w:history="1">
        <w:r w:rsidRPr="00BF44E1">
          <w:rPr>
            <w:rStyle w:val="Hyperlink"/>
            <w:sz w:val="18"/>
            <w:szCs w:val="18"/>
          </w:rPr>
          <w:t>Women in Diplomacy Index</w:t>
        </w:r>
      </w:hyperlink>
      <w:r w:rsidRPr="00BF44E1">
        <w:rPr>
          <w:sz w:val="18"/>
          <w:szCs w:val="18"/>
        </w:rPr>
        <w:t>, 2025</w:t>
      </w:r>
      <w:r w:rsidR="00BF44E1" w:rsidRPr="00BF44E1">
        <w:rPr>
          <w:sz w:val="18"/>
          <w:szCs w:val="18"/>
        </w:rPr>
        <w:t>, Anwar Gargash Diplomatic Academy (AGDA)</w:t>
      </w:r>
    </w:p>
  </w:footnote>
  <w:footnote w:id="8">
    <w:p w14:paraId="01DF879B" w14:textId="77777777" w:rsidR="003F7CFF" w:rsidRPr="001F0404" w:rsidRDefault="003F7CFF" w:rsidP="00E65CFF">
      <w:pPr>
        <w:pStyle w:val="FootnoteText"/>
        <w:spacing w:after="0" w:line="240" w:lineRule="auto"/>
      </w:pPr>
      <w:r>
        <w:rPr>
          <w:rStyle w:val="FootnoteReference"/>
        </w:rPr>
        <w:footnoteRef/>
      </w:r>
      <w:r>
        <w:t xml:space="preserve"> </w:t>
      </w:r>
      <w:r w:rsidRPr="7AE9F487">
        <w:rPr>
          <w:rFonts w:asciiTheme="minorHAnsi" w:hAnsiTheme="minorHAnsi" w:cstheme="minorBidi"/>
          <w:sz w:val="18"/>
          <w:szCs w:val="18"/>
        </w:rPr>
        <w:t xml:space="preserve">UN Women policy paper on </w:t>
      </w:r>
      <w:r w:rsidRPr="7AE9F487">
        <w:rPr>
          <w:rFonts w:asciiTheme="minorHAnsi" w:hAnsiTheme="minorHAnsi" w:cstheme="minorBidi"/>
          <w:i/>
          <w:iCs/>
          <w:sz w:val="18"/>
          <w:szCs w:val="18"/>
        </w:rPr>
        <w:t>Women in the Diplomatic Corps: Normative Frameworks, Structural Barriers and Policy Recommendations</w:t>
      </w:r>
      <w:r w:rsidRPr="7AE9F487">
        <w:rPr>
          <w:rFonts w:asciiTheme="minorHAnsi" w:hAnsiTheme="minorHAnsi" w:cstheme="minorBidi"/>
          <w:sz w:val="18"/>
          <w:szCs w:val="18"/>
        </w:rPr>
        <w:t xml:space="preserve"> (2026), p. 9.</w:t>
      </w:r>
    </w:p>
  </w:footnote>
  <w:footnote w:id="9">
    <w:p w14:paraId="6FD6A89B" w14:textId="77777777" w:rsidR="00EB0593" w:rsidRPr="00592166" w:rsidRDefault="00EB0593" w:rsidP="00E65CFF">
      <w:pPr>
        <w:pStyle w:val="FootnoteText"/>
        <w:spacing w:after="0" w:line="240" w:lineRule="auto"/>
        <w:ind w:right="-613"/>
        <w:rPr>
          <w:sz w:val="18"/>
          <w:szCs w:val="18"/>
        </w:rPr>
      </w:pPr>
      <w:r w:rsidRPr="00592166">
        <w:rPr>
          <w:rStyle w:val="FootnoteReference"/>
          <w:sz w:val="18"/>
          <w:szCs w:val="18"/>
        </w:rPr>
        <w:footnoteRef/>
      </w:r>
      <w:r w:rsidRPr="00592166">
        <w:rPr>
          <w:sz w:val="18"/>
          <w:szCs w:val="18"/>
        </w:rPr>
        <w:t xml:space="preserve"> United Nations Development Programme &amp; University of Pittsburgh (2021), </w:t>
      </w:r>
      <w:r w:rsidRPr="00592166">
        <w:rPr>
          <w:i/>
          <w:iCs/>
          <w:sz w:val="18"/>
          <w:szCs w:val="18"/>
        </w:rPr>
        <w:t>Global Report on Gender Equality in Public Administration</w:t>
      </w:r>
      <w:r w:rsidRPr="00592166">
        <w:rPr>
          <w:sz w:val="18"/>
          <w:szCs w:val="18"/>
        </w:rPr>
        <w:t>.</w:t>
      </w:r>
    </w:p>
  </w:footnote>
  <w:footnote w:id="10">
    <w:p w14:paraId="190F2EF5" w14:textId="2FC5AF57" w:rsidR="00EB0593" w:rsidRPr="001B692D" w:rsidRDefault="00EB0593" w:rsidP="00E65CFF">
      <w:pPr>
        <w:pStyle w:val="FootnoteText"/>
        <w:spacing w:after="0" w:line="240" w:lineRule="auto"/>
        <w:ind w:right="-613"/>
      </w:pPr>
      <w:r w:rsidRPr="00592166">
        <w:rPr>
          <w:rStyle w:val="FootnoteReference"/>
          <w:sz w:val="18"/>
          <w:szCs w:val="18"/>
        </w:rPr>
        <w:footnoteRef/>
      </w:r>
      <w:r w:rsidRPr="00592166">
        <w:rPr>
          <w:sz w:val="18"/>
          <w:szCs w:val="18"/>
        </w:rPr>
        <w:t xml:space="preserve"> Report of the United Nations High Commissioner for Human Rights</w:t>
      </w:r>
      <w:r w:rsidR="00EB3C14" w:rsidRPr="00592166">
        <w:rPr>
          <w:sz w:val="18"/>
          <w:szCs w:val="18"/>
        </w:rPr>
        <w:t>,</w:t>
      </w:r>
      <w:r w:rsidRPr="00592166">
        <w:rPr>
          <w:sz w:val="18"/>
          <w:szCs w:val="18"/>
        </w:rPr>
        <w:t xml:space="preserve"> </w:t>
      </w:r>
      <w:r w:rsidRPr="00592166">
        <w:rPr>
          <w:i/>
          <w:iCs/>
          <w:sz w:val="18"/>
          <w:szCs w:val="18"/>
        </w:rPr>
        <w:t>Realization of the right to work</w:t>
      </w:r>
      <w:r w:rsidRPr="00592166">
        <w:rPr>
          <w:sz w:val="18"/>
          <w:szCs w:val="18"/>
        </w:rPr>
        <w:t xml:space="preserve"> (201</w:t>
      </w:r>
      <w:r w:rsidR="003C1B36">
        <w:rPr>
          <w:sz w:val="18"/>
          <w:szCs w:val="18"/>
        </w:rPr>
        <w:t>6</w:t>
      </w:r>
      <w:r w:rsidRPr="00592166">
        <w:rPr>
          <w:sz w:val="18"/>
          <w:szCs w:val="18"/>
        </w:rPr>
        <w:t>, A/HRC/34/29), para 62.</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88C"/>
    <w:multiLevelType w:val="multilevel"/>
    <w:tmpl w:val="BF5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63811"/>
    <w:multiLevelType w:val="hybridMultilevel"/>
    <w:tmpl w:val="9A7AC734"/>
    <w:lvl w:ilvl="0" w:tplc="89BEB6B0">
      <w:start w:val="1"/>
      <w:numFmt w:val="decimal"/>
      <w:lvlText w:val="%1."/>
      <w:lvlJc w:val="left"/>
      <w:pPr>
        <w:ind w:left="720" w:hanging="360"/>
      </w:pPr>
      <w:rPr>
        <w:rFonts w:hint="default"/>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B76D2C"/>
    <w:multiLevelType w:val="hybridMultilevel"/>
    <w:tmpl w:val="07CEE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FA3B6B"/>
    <w:multiLevelType w:val="hybridMultilevel"/>
    <w:tmpl w:val="96162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665F1"/>
    <w:multiLevelType w:val="hybridMultilevel"/>
    <w:tmpl w:val="36F81FE4"/>
    <w:lvl w:ilvl="0" w:tplc="CD502FA8">
      <w:start w:val="1"/>
      <w:numFmt w:val="bullet"/>
      <w:lvlText w:val=""/>
      <w:lvlJc w:val="left"/>
      <w:pPr>
        <w:ind w:left="360" w:hanging="360"/>
      </w:pPr>
      <w:rPr>
        <w:rFonts w:ascii="Symbol" w:hAnsi="Symbol" w:hint="default"/>
      </w:rPr>
    </w:lvl>
    <w:lvl w:ilvl="1" w:tplc="BDAE2DDC">
      <w:start w:val="1"/>
      <w:numFmt w:val="bullet"/>
      <w:lvlText w:val="o"/>
      <w:lvlJc w:val="left"/>
      <w:pPr>
        <w:ind w:left="1080" w:hanging="360"/>
      </w:pPr>
      <w:rPr>
        <w:rFonts w:ascii="Courier New" w:hAnsi="Courier New" w:hint="default"/>
      </w:rPr>
    </w:lvl>
    <w:lvl w:ilvl="2" w:tplc="98E89FA4">
      <w:start w:val="1"/>
      <w:numFmt w:val="bullet"/>
      <w:lvlText w:val=""/>
      <w:lvlJc w:val="left"/>
      <w:pPr>
        <w:ind w:left="1800" w:hanging="360"/>
      </w:pPr>
      <w:rPr>
        <w:rFonts w:ascii="Wingdings" w:hAnsi="Wingdings" w:hint="default"/>
      </w:rPr>
    </w:lvl>
    <w:lvl w:ilvl="3" w:tplc="C46E2486">
      <w:start w:val="1"/>
      <w:numFmt w:val="bullet"/>
      <w:lvlText w:val=""/>
      <w:lvlJc w:val="left"/>
      <w:pPr>
        <w:ind w:left="2520" w:hanging="360"/>
      </w:pPr>
      <w:rPr>
        <w:rFonts w:ascii="Symbol" w:hAnsi="Symbol" w:hint="default"/>
      </w:rPr>
    </w:lvl>
    <w:lvl w:ilvl="4" w:tplc="8F1E16B2">
      <w:start w:val="1"/>
      <w:numFmt w:val="bullet"/>
      <w:lvlText w:val="o"/>
      <w:lvlJc w:val="left"/>
      <w:pPr>
        <w:ind w:left="3240" w:hanging="360"/>
      </w:pPr>
      <w:rPr>
        <w:rFonts w:ascii="Courier New" w:hAnsi="Courier New" w:hint="default"/>
      </w:rPr>
    </w:lvl>
    <w:lvl w:ilvl="5" w:tplc="F510122E">
      <w:start w:val="1"/>
      <w:numFmt w:val="bullet"/>
      <w:lvlText w:val=""/>
      <w:lvlJc w:val="left"/>
      <w:pPr>
        <w:ind w:left="3960" w:hanging="360"/>
      </w:pPr>
      <w:rPr>
        <w:rFonts w:ascii="Wingdings" w:hAnsi="Wingdings" w:hint="default"/>
      </w:rPr>
    </w:lvl>
    <w:lvl w:ilvl="6" w:tplc="C868DD2E">
      <w:start w:val="1"/>
      <w:numFmt w:val="bullet"/>
      <w:lvlText w:val=""/>
      <w:lvlJc w:val="left"/>
      <w:pPr>
        <w:ind w:left="4680" w:hanging="360"/>
      </w:pPr>
      <w:rPr>
        <w:rFonts w:ascii="Symbol" w:hAnsi="Symbol" w:hint="default"/>
      </w:rPr>
    </w:lvl>
    <w:lvl w:ilvl="7" w:tplc="F274E70E">
      <w:start w:val="1"/>
      <w:numFmt w:val="bullet"/>
      <w:lvlText w:val="o"/>
      <w:lvlJc w:val="left"/>
      <w:pPr>
        <w:ind w:left="5400" w:hanging="360"/>
      </w:pPr>
      <w:rPr>
        <w:rFonts w:ascii="Courier New" w:hAnsi="Courier New" w:hint="default"/>
      </w:rPr>
    </w:lvl>
    <w:lvl w:ilvl="8" w:tplc="90521762">
      <w:start w:val="1"/>
      <w:numFmt w:val="bullet"/>
      <w:lvlText w:val=""/>
      <w:lvlJc w:val="left"/>
      <w:pPr>
        <w:ind w:left="6120" w:hanging="360"/>
      </w:pPr>
      <w:rPr>
        <w:rFonts w:ascii="Wingdings" w:hAnsi="Wingdings" w:hint="default"/>
      </w:rPr>
    </w:lvl>
  </w:abstractNum>
  <w:abstractNum w:abstractNumId="11"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B28E5"/>
    <w:multiLevelType w:val="multilevel"/>
    <w:tmpl w:val="1FB8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364BC4"/>
    <w:multiLevelType w:val="multilevel"/>
    <w:tmpl w:val="C4F0B7F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012DD2"/>
    <w:multiLevelType w:val="multilevel"/>
    <w:tmpl w:val="F9B42008"/>
    <w:lvl w:ilvl="0">
      <w:start w:val="1"/>
      <w:numFmt w:val="bullet"/>
      <w:lvlText w:val=""/>
      <w:lvlJc w:val="left"/>
      <w:pPr>
        <w:ind w:left="360" w:hanging="360"/>
      </w:pPr>
      <w:rPr>
        <w:rFonts w:ascii="Symbol" w:hAnsi="Symbol" w:hint="default"/>
        <w:u w:val="none"/>
      </w:rPr>
    </w:lvl>
    <w:lvl w:ilvl="1">
      <w:numFmt w:val="bullet"/>
      <w:lvlText w:val="-"/>
      <w:lvlJc w:val="left"/>
      <w:pPr>
        <w:ind w:left="1080" w:hanging="360"/>
      </w:pPr>
      <w:rPr>
        <w:rFonts w:ascii="Calibri" w:eastAsiaTheme="minorEastAsia" w:hAnsi="Calibri" w:cs="Calibri"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15" w15:restartNumberingAfterBreak="0">
    <w:nsid w:val="4FBA4A1F"/>
    <w:multiLevelType w:val="hybridMultilevel"/>
    <w:tmpl w:val="E3CA3948"/>
    <w:lvl w:ilvl="0" w:tplc="022ED7C2">
      <w:start w:val="1"/>
      <w:numFmt w:val="bullet"/>
      <w:lvlText w:val="·"/>
      <w:lvlJc w:val="left"/>
      <w:pPr>
        <w:ind w:left="720" w:hanging="360"/>
      </w:pPr>
      <w:rPr>
        <w:rFonts w:ascii="Symbol" w:hAnsi="Symbol" w:hint="default"/>
      </w:rPr>
    </w:lvl>
    <w:lvl w:ilvl="1" w:tplc="CEB8F56E">
      <w:start w:val="1"/>
      <w:numFmt w:val="bullet"/>
      <w:lvlText w:val="o"/>
      <w:lvlJc w:val="left"/>
      <w:pPr>
        <w:ind w:left="1440" w:hanging="360"/>
      </w:pPr>
      <w:rPr>
        <w:rFonts w:ascii="Courier New" w:hAnsi="Courier New" w:hint="default"/>
      </w:rPr>
    </w:lvl>
    <w:lvl w:ilvl="2" w:tplc="0C464FCE">
      <w:start w:val="1"/>
      <w:numFmt w:val="bullet"/>
      <w:lvlText w:val=""/>
      <w:lvlJc w:val="left"/>
      <w:pPr>
        <w:ind w:left="2160" w:hanging="360"/>
      </w:pPr>
      <w:rPr>
        <w:rFonts w:ascii="Wingdings" w:hAnsi="Wingdings" w:hint="default"/>
      </w:rPr>
    </w:lvl>
    <w:lvl w:ilvl="3" w:tplc="F9F499A8">
      <w:start w:val="1"/>
      <w:numFmt w:val="bullet"/>
      <w:lvlText w:val=""/>
      <w:lvlJc w:val="left"/>
      <w:pPr>
        <w:ind w:left="2880" w:hanging="360"/>
      </w:pPr>
      <w:rPr>
        <w:rFonts w:ascii="Symbol" w:hAnsi="Symbol" w:hint="default"/>
      </w:rPr>
    </w:lvl>
    <w:lvl w:ilvl="4" w:tplc="35C052E4">
      <w:start w:val="1"/>
      <w:numFmt w:val="bullet"/>
      <w:lvlText w:val="o"/>
      <w:lvlJc w:val="left"/>
      <w:pPr>
        <w:ind w:left="3600" w:hanging="360"/>
      </w:pPr>
      <w:rPr>
        <w:rFonts w:ascii="Courier New" w:hAnsi="Courier New" w:hint="default"/>
      </w:rPr>
    </w:lvl>
    <w:lvl w:ilvl="5" w:tplc="73309488">
      <w:start w:val="1"/>
      <w:numFmt w:val="bullet"/>
      <w:lvlText w:val=""/>
      <w:lvlJc w:val="left"/>
      <w:pPr>
        <w:ind w:left="4320" w:hanging="360"/>
      </w:pPr>
      <w:rPr>
        <w:rFonts w:ascii="Wingdings" w:hAnsi="Wingdings" w:hint="default"/>
      </w:rPr>
    </w:lvl>
    <w:lvl w:ilvl="6" w:tplc="AEF448D4">
      <w:start w:val="1"/>
      <w:numFmt w:val="bullet"/>
      <w:lvlText w:val=""/>
      <w:lvlJc w:val="left"/>
      <w:pPr>
        <w:ind w:left="5040" w:hanging="360"/>
      </w:pPr>
      <w:rPr>
        <w:rFonts w:ascii="Symbol" w:hAnsi="Symbol" w:hint="default"/>
      </w:rPr>
    </w:lvl>
    <w:lvl w:ilvl="7" w:tplc="6020135E">
      <w:start w:val="1"/>
      <w:numFmt w:val="bullet"/>
      <w:lvlText w:val="o"/>
      <w:lvlJc w:val="left"/>
      <w:pPr>
        <w:ind w:left="5760" w:hanging="360"/>
      </w:pPr>
      <w:rPr>
        <w:rFonts w:ascii="Courier New" w:hAnsi="Courier New" w:hint="default"/>
      </w:rPr>
    </w:lvl>
    <w:lvl w:ilvl="8" w:tplc="427E5882">
      <w:start w:val="1"/>
      <w:numFmt w:val="bullet"/>
      <w:lvlText w:val=""/>
      <w:lvlJc w:val="left"/>
      <w:pPr>
        <w:ind w:left="6480" w:hanging="360"/>
      </w:pPr>
      <w:rPr>
        <w:rFonts w:ascii="Wingdings" w:hAnsi="Wingdings" w:hint="default"/>
      </w:rPr>
    </w:lvl>
  </w:abstractNum>
  <w:abstractNum w:abstractNumId="16" w15:restartNumberingAfterBreak="0">
    <w:nsid w:val="529605D0"/>
    <w:multiLevelType w:val="multilevel"/>
    <w:tmpl w:val="416A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133C68"/>
    <w:multiLevelType w:val="hybridMultilevel"/>
    <w:tmpl w:val="598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636405"/>
    <w:multiLevelType w:val="hybridMultilevel"/>
    <w:tmpl w:val="56DA7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261776"/>
    <w:multiLevelType w:val="hybridMultilevel"/>
    <w:tmpl w:val="85E6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D26564"/>
    <w:multiLevelType w:val="multilevel"/>
    <w:tmpl w:val="EC0E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6E6E12"/>
    <w:multiLevelType w:val="hybridMultilevel"/>
    <w:tmpl w:val="E82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E593F"/>
    <w:multiLevelType w:val="hybridMultilevel"/>
    <w:tmpl w:val="2C08A89A"/>
    <w:lvl w:ilvl="0" w:tplc="0DE8D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92CA7"/>
    <w:multiLevelType w:val="hybridMultilevel"/>
    <w:tmpl w:val="6418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6A6E97"/>
    <w:multiLevelType w:val="multilevel"/>
    <w:tmpl w:val="CF2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1F0C2E"/>
    <w:multiLevelType w:val="hybridMultilevel"/>
    <w:tmpl w:val="EC2AA0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7ED55B2C"/>
    <w:multiLevelType w:val="hybridMultilevel"/>
    <w:tmpl w:val="4B602C50"/>
    <w:lvl w:ilvl="0" w:tplc="82C2F4B6">
      <w:start w:val="1"/>
      <w:numFmt w:val="bullet"/>
      <w:lvlText w:val="·"/>
      <w:lvlJc w:val="left"/>
      <w:pPr>
        <w:ind w:left="720" w:hanging="360"/>
      </w:pPr>
      <w:rPr>
        <w:rFonts w:ascii="Symbol" w:hAnsi="Symbol" w:hint="default"/>
      </w:rPr>
    </w:lvl>
    <w:lvl w:ilvl="1" w:tplc="B1A0C25C">
      <w:start w:val="1"/>
      <w:numFmt w:val="bullet"/>
      <w:lvlText w:val="o"/>
      <w:lvlJc w:val="left"/>
      <w:pPr>
        <w:ind w:left="1440" w:hanging="360"/>
      </w:pPr>
      <w:rPr>
        <w:rFonts w:ascii="Courier New" w:hAnsi="Courier New" w:hint="default"/>
      </w:rPr>
    </w:lvl>
    <w:lvl w:ilvl="2" w:tplc="F2F6876E">
      <w:start w:val="1"/>
      <w:numFmt w:val="bullet"/>
      <w:lvlText w:val=""/>
      <w:lvlJc w:val="left"/>
      <w:pPr>
        <w:ind w:left="2160" w:hanging="360"/>
      </w:pPr>
      <w:rPr>
        <w:rFonts w:ascii="Wingdings" w:hAnsi="Wingdings" w:hint="default"/>
      </w:rPr>
    </w:lvl>
    <w:lvl w:ilvl="3" w:tplc="31249A16">
      <w:start w:val="1"/>
      <w:numFmt w:val="bullet"/>
      <w:lvlText w:val=""/>
      <w:lvlJc w:val="left"/>
      <w:pPr>
        <w:ind w:left="2880" w:hanging="360"/>
      </w:pPr>
      <w:rPr>
        <w:rFonts w:ascii="Symbol" w:hAnsi="Symbol" w:hint="default"/>
      </w:rPr>
    </w:lvl>
    <w:lvl w:ilvl="4" w:tplc="CC72BB4C">
      <w:start w:val="1"/>
      <w:numFmt w:val="bullet"/>
      <w:lvlText w:val="o"/>
      <w:lvlJc w:val="left"/>
      <w:pPr>
        <w:ind w:left="3600" w:hanging="360"/>
      </w:pPr>
      <w:rPr>
        <w:rFonts w:ascii="Courier New" w:hAnsi="Courier New" w:hint="default"/>
      </w:rPr>
    </w:lvl>
    <w:lvl w:ilvl="5" w:tplc="0AE69B40">
      <w:start w:val="1"/>
      <w:numFmt w:val="bullet"/>
      <w:lvlText w:val=""/>
      <w:lvlJc w:val="left"/>
      <w:pPr>
        <w:ind w:left="4320" w:hanging="360"/>
      </w:pPr>
      <w:rPr>
        <w:rFonts w:ascii="Wingdings" w:hAnsi="Wingdings" w:hint="default"/>
      </w:rPr>
    </w:lvl>
    <w:lvl w:ilvl="6" w:tplc="636A554E">
      <w:start w:val="1"/>
      <w:numFmt w:val="bullet"/>
      <w:lvlText w:val=""/>
      <w:lvlJc w:val="left"/>
      <w:pPr>
        <w:ind w:left="5040" w:hanging="360"/>
      </w:pPr>
      <w:rPr>
        <w:rFonts w:ascii="Symbol" w:hAnsi="Symbol" w:hint="default"/>
      </w:rPr>
    </w:lvl>
    <w:lvl w:ilvl="7" w:tplc="1F043246">
      <w:start w:val="1"/>
      <w:numFmt w:val="bullet"/>
      <w:lvlText w:val="o"/>
      <w:lvlJc w:val="left"/>
      <w:pPr>
        <w:ind w:left="5760" w:hanging="360"/>
      </w:pPr>
      <w:rPr>
        <w:rFonts w:ascii="Courier New" w:hAnsi="Courier New" w:hint="default"/>
      </w:rPr>
    </w:lvl>
    <w:lvl w:ilvl="8" w:tplc="299EEDB8">
      <w:start w:val="1"/>
      <w:numFmt w:val="bullet"/>
      <w:lvlText w:val=""/>
      <w:lvlJc w:val="left"/>
      <w:pPr>
        <w:ind w:left="6480" w:hanging="360"/>
      </w:pPr>
      <w:rPr>
        <w:rFonts w:ascii="Wingdings" w:hAnsi="Wingdings" w:hint="default"/>
      </w:rPr>
    </w:lvl>
  </w:abstractNum>
  <w:num w:numId="1" w16cid:durableId="861088532">
    <w:abstractNumId w:val="13"/>
  </w:num>
  <w:num w:numId="2" w16cid:durableId="998270076">
    <w:abstractNumId w:val="10"/>
  </w:num>
  <w:num w:numId="3" w16cid:durableId="831717387">
    <w:abstractNumId w:val="15"/>
  </w:num>
  <w:num w:numId="4" w16cid:durableId="1165051767">
    <w:abstractNumId w:val="31"/>
  </w:num>
  <w:num w:numId="5" w16cid:durableId="1111777344">
    <w:abstractNumId w:val="19"/>
  </w:num>
  <w:num w:numId="6" w16cid:durableId="1488132910">
    <w:abstractNumId w:val="4"/>
  </w:num>
  <w:num w:numId="7" w16cid:durableId="1965192602">
    <w:abstractNumId w:val="11"/>
  </w:num>
  <w:num w:numId="8" w16cid:durableId="1128474171">
    <w:abstractNumId w:val="28"/>
  </w:num>
  <w:num w:numId="9" w16cid:durableId="574821639">
    <w:abstractNumId w:val="1"/>
  </w:num>
  <w:num w:numId="10" w16cid:durableId="943734515">
    <w:abstractNumId w:val="5"/>
  </w:num>
  <w:num w:numId="11" w16cid:durableId="1094668261">
    <w:abstractNumId w:val="20"/>
  </w:num>
  <w:num w:numId="12" w16cid:durableId="1419789999">
    <w:abstractNumId w:val="9"/>
  </w:num>
  <w:num w:numId="13" w16cid:durableId="1964916313">
    <w:abstractNumId w:val="3"/>
  </w:num>
  <w:num w:numId="14" w16cid:durableId="277222443">
    <w:abstractNumId w:val="2"/>
  </w:num>
  <w:num w:numId="15" w16cid:durableId="1005785483">
    <w:abstractNumId w:val="18"/>
  </w:num>
  <w:num w:numId="16" w16cid:durableId="244657139">
    <w:abstractNumId w:val="22"/>
  </w:num>
  <w:num w:numId="17" w16cid:durableId="932281973">
    <w:abstractNumId w:val="23"/>
  </w:num>
  <w:num w:numId="18" w16cid:durableId="216936708">
    <w:abstractNumId w:val="7"/>
  </w:num>
  <w:num w:numId="19" w16cid:durableId="1941720701">
    <w:abstractNumId w:val="25"/>
  </w:num>
  <w:num w:numId="20" w16cid:durableId="369309740">
    <w:abstractNumId w:val="8"/>
  </w:num>
  <w:num w:numId="21" w16cid:durableId="1825314260">
    <w:abstractNumId w:val="0"/>
  </w:num>
  <w:num w:numId="22" w16cid:durableId="320158881">
    <w:abstractNumId w:val="6"/>
  </w:num>
  <w:num w:numId="23" w16cid:durableId="926689198">
    <w:abstractNumId w:val="27"/>
  </w:num>
  <w:num w:numId="24" w16cid:durableId="70737664">
    <w:abstractNumId w:val="21"/>
  </w:num>
  <w:num w:numId="25" w16cid:durableId="1184706768">
    <w:abstractNumId w:val="17"/>
  </w:num>
  <w:num w:numId="26" w16cid:durableId="275141734">
    <w:abstractNumId w:val="14"/>
  </w:num>
  <w:num w:numId="27" w16cid:durableId="2086485589">
    <w:abstractNumId w:val="26"/>
  </w:num>
  <w:num w:numId="28" w16cid:durableId="1321737760">
    <w:abstractNumId w:val="16"/>
  </w:num>
  <w:num w:numId="29" w16cid:durableId="685442988">
    <w:abstractNumId w:val="30"/>
  </w:num>
  <w:num w:numId="30" w16cid:durableId="536965271">
    <w:abstractNumId w:val="24"/>
  </w:num>
  <w:num w:numId="31" w16cid:durableId="73359719">
    <w:abstractNumId w:val="12"/>
  </w:num>
  <w:num w:numId="32" w16cid:durableId="4930343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46"/>
    <w:rsid w:val="00002CC0"/>
    <w:rsid w:val="00003062"/>
    <w:rsid w:val="00003882"/>
    <w:rsid w:val="000052B0"/>
    <w:rsid w:val="000067EE"/>
    <w:rsid w:val="00010283"/>
    <w:rsid w:val="000104C8"/>
    <w:rsid w:val="000106D1"/>
    <w:rsid w:val="0001193E"/>
    <w:rsid w:val="000124F4"/>
    <w:rsid w:val="00014232"/>
    <w:rsid w:val="00014FAF"/>
    <w:rsid w:val="00016076"/>
    <w:rsid w:val="000200DE"/>
    <w:rsid w:val="00021B30"/>
    <w:rsid w:val="00021D92"/>
    <w:rsid w:val="00022053"/>
    <w:rsid w:val="0002266A"/>
    <w:rsid w:val="00022E68"/>
    <w:rsid w:val="000234E3"/>
    <w:rsid w:val="00023F2A"/>
    <w:rsid w:val="0002587F"/>
    <w:rsid w:val="000265D9"/>
    <w:rsid w:val="000271C6"/>
    <w:rsid w:val="000272FB"/>
    <w:rsid w:val="000279F1"/>
    <w:rsid w:val="000306DC"/>
    <w:rsid w:val="00030A1E"/>
    <w:rsid w:val="00032728"/>
    <w:rsid w:val="00032C1A"/>
    <w:rsid w:val="00033219"/>
    <w:rsid w:val="000346D1"/>
    <w:rsid w:val="0003488F"/>
    <w:rsid w:val="00034CA1"/>
    <w:rsid w:val="00035AFB"/>
    <w:rsid w:val="0004007D"/>
    <w:rsid w:val="000408B1"/>
    <w:rsid w:val="0004490A"/>
    <w:rsid w:val="0004513B"/>
    <w:rsid w:val="000455E8"/>
    <w:rsid w:val="0004580A"/>
    <w:rsid w:val="00045B67"/>
    <w:rsid w:val="00046AA2"/>
    <w:rsid w:val="0005085C"/>
    <w:rsid w:val="00050CA3"/>
    <w:rsid w:val="00051EA3"/>
    <w:rsid w:val="000524C8"/>
    <w:rsid w:val="0005346F"/>
    <w:rsid w:val="00053DA5"/>
    <w:rsid w:val="00054081"/>
    <w:rsid w:val="00054242"/>
    <w:rsid w:val="00054BB3"/>
    <w:rsid w:val="00054D79"/>
    <w:rsid w:val="000568DB"/>
    <w:rsid w:val="00060094"/>
    <w:rsid w:val="000609EA"/>
    <w:rsid w:val="00062D97"/>
    <w:rsid w:val="000648DE"/>
    <w:rsid w:val="000650DA"/>
    <w:rsid w:val="000669F1"/>
    <w:rsid w:val="00070D19"/>
    <w:rsid w:val="0007105D"/>
    <w:rsid w:val="000716B3"/>
    <w:rsid w:val="00071BEE"/>
    <w:rsid w:val="00071F04"/>
    <w:rsid w:val="000728FD"/>
    <w:rsid w:val="0007304D"/>
    <w:rsid w:val="0007332C"/>
    <w:rsid w:val="00073C13"/>
    <w:rsid w:val="00074BCB"/>
    <w:rsid w:val="00074CC4"/>
    <w:rsid w:val="00075184"/>
    <w:rsid w:val="00075A01"/>
    <w:rsid w:val="0007720A"/>
    <w:rsid w:val="00081178"/>
    <w:rsid w:val="000811BA"/>
    <w:rsid w:val="00081C18"/>
    <w:rsid w:val="000825C1"/>
    <w:rsid w:val="00083FD2"/>
    <w:rsid w:val="0008467A"/>
    <w:rsid w:val="00084ADC"/>
    <w:rsid w:val="000867DF"/>
    <w:rsid w:val="00087DFD"/>
    <w:rsid w:val="0009250D"/>
    <w:rsid w:val="0009434C"/>
    <w:rsid w:val="00094A0B"/>
    <w:rsid w:val="00095A1D"/>
    <w:rsid w:val="00095EC7"/>
    <w:rsid w:val="0009673E"/>
    <w:rsid w:val="000967AC"/>
    <w:rsid w:val="00096A6F"/>
    <w:rsid w:val="000A4FBE"/>
    <w:rsid w:val="000A502E"/>
    <w:rsid w:val="000A51B9"/>
    <w:rsid w:val="000A5594"/>
    <w:rsid w:val="000A5D9F"/>
    <w:rsid w:val="000A61F3"/>
    <w:rsid w:val="000A7C24"/>
    <w:rsid w:val="000B0D82"/>
    <w:rsid w:val="000B1CE2"/>
    <w:rsid w:val="000B2188"/>
    <w:rsid w:val="000B26CD"/>
    <w:rsid w:val="000B35C3"/>
    <w:rsid w:val="000B36A6"/>
    <w:rsid w:val="000B3B36"/>
    <w:rsid w:val="000B5F3B"/>
    <w:rsid w:val="000B614A"/>
    <w:rsid w:val="000B7CF9"/>
    <w:rsid w:val="000C1BDF"/>
    <w:rsid w:val="000C1E16"/>
    <w:rsid w:val="000C23E0"/>
    <w:rsid w:val="000C2747"/>
    <w:rsid w:val="000C37B1"/>
    <w:rsid w:val="000C5E13"/>
    <w:rsid w:val="000C6EBE"/>
    <w:rsid w:val="000D0318"/>
    <w:rsid w:val="000D0C2A"/>
    <w:rsid w:val="000D1142"/>
    <w:rsid w:val="000D344E"/>
    <w:rsid w:val="000D4160"/>
    <w:rsid w:val="000D4285"/>
    <w:rsid w:val="000D519B"/>
    <w:rsid w:val="000E1E0B"/>
    <w:rsid w:val="000E224A"/>
    <w:rsid w:val="000E4904"/>
    <w:rsid w:val="000E5A9D"/>
    <w:rsid w:val="000E5F5C"/>
    <w:rsid w:val="000F0292"/>
    <w:rsid w:val="000F27C9"/>
    <w:rsid w:val="000F300E"/>
    <w:rsid w:val="000F3562"/>
    <w:rsid w:val="000F457E"/>
    <w:rsid w:val="000F5726"/>
    <w:rsid w:val="000F5AD6"/>
    <w:rsid w:val="000F5C6B"/>
    <w:rsid w:val="000F7160"/>
    <w:rsid w:val="0010087D"/>
    <w:rsid w:val="00100CC5"/>
    <w:rsid w:val="00102653"/>
    <w:rsid w:val="001031FF"/>
    <w:rsid w:val="00103276"/>
    <w:rsid w:val="00103B92"/>
    <w:rsid w:val="0010534C"/>
    <w:rsid w:val="00105F29"/>
    <w:rsid w:val="00106A11"/>
    <w:rsid w:val="00106CEC"/>
    <w:rsid w:val="00110BB2"/>
    <w:rsid w:val="001110B5"/>
    <w:rsid w:val="0011137D"/>
    <w:rsid w:val="0011279B"/>
    <w:rsid w:val="001138BD"/>
    <w:rsid w:val="001145CB"/>
    <w:rsid w:val="00115670"/>
    <w:rsid w:val="00117C7E"/>
    <w:rsid w:val="00117DF5"/>
    <w:rsid w:val="00120FEA"/>
    <w:rsid w:val="00123383"/>
    <w:rsid w:val="001246C9"/>
    <w:rsid w:val="00127798"/>
    <w:rsid w:val="00127EC6"/>
    <w:rsid w:val="001329E4"/>
    <w:rsid w:val="00132E26"/>
    <w:rsid w:val="00133223"/>
    <w:rsid w:val="00133749"/>
    <w:rsid w:val="001338CB"/>
    <w:rsid w:val="00134B2C"/>
    <w:rsid w:val="00135732"/>
    <w:rsid w:val="00136AD2"/>
    <w:rsid w:val="00136FA5"/>
    <w:rsid w:val="00137B1A"/>
    <w:rsid w:val="00143B32"/>
    <w:rsid w:val="00144C39"/>
    <w:rsid w:val="00145CE6"/>
    <w:rsid w:val="0014689E"/>
    <w:rsid w:val="00146C18"/>
    <w:rsid w:val="00146C40"/>
    <w:rsid w:val="00152095"/>
    <w:rsid w:val="00153A41"/>
    <w:rsid w:val="00154242"/>
    <w:rsid w:val="0015685E"/>
    <w:rsid w:val="00156D2B"/>
    <w:rsid w:val="00160B92"/>
    <w:rsid w:val="00160DB0"/>
    <w:rsid w:val="00160EF8"/>
    <w:rsid w:val="00161216"/>
    <w:rsid w:val="001623FE"/>
    <w:rsid w:val="001632FE"/>
    <w:rsid w:val="00165849"/>
    <w:rsid w:val="0016611F"/>
    <w:rsid w:val="00166AC1"/>
    <w:rsid w:val="00166ADB"/>
    <w:rsid w:val="00167E88"/>
    <w:rsid w:val="00170664"/>
    <w:rsid w:val="0017151F"/>
    <w:rsid w:val="0017182D"/>
    <w:rsid w:val="00172476"/>
    <w:rsid w:val="0017293B"/>
    <w:rsid w:val="0017686C"/>
    <w:rsid w:val="00180E0B"/>
    <w:rsid w:val="00181D6A"/>
    <w:rsid w:val="00183CB4"/>
    <w:rsid w:val="0018584B"/>
    <w:rsid w:val="00187036"/>
    <w:rsid w:val="0018727D"/>
    <w:rsid w:val="001900DD"/>
    <w:rsid w:val="0019130A"/>
    <w:rsid w:val="0019157C"/>
    <w:rsid w:val="00191CF5"/>
    <w:rsid w:val="0019571D"/>
    <w:rsid w:val="00195991"/>
    <w:rsid w:val="001959CB"/>
    <w:rsid w:val="0019643B"/>
    <w:rsid w:val="001967EF"/>
    <w:rsid w:val="00197C3F"/>
    <w:rsid w:val="001A1783"/>
    <w:rsid w:val="001A1BF1"/>
    <w:rsid w:val="001A34F6"/>
    <w:rsid w:val="001A39D6"/>
    <w:rsid w:val="001A451D"/>
    <w:rsid w:val="001A4A64"/>
    <w:rsid w:val="001A5644"/>
    <w:rsid w:val="001A665E"/>
    <w:rsid w:val="001A69C8"/>
    <w:rsid w:val="001A772A"/>
    <w:rsid w:val="001B085F"/>
    <w:rsid w:val="001B220F"/>
    <w:rsid w:val="001B28A7"/>
    <w:rsid w:val="001B28B0"/>
    <w:rsid w:val="001B4326"/>
    <w:rsid w:val="001B692D"/>
    <w:rsid w:val="001B7658"/>
    <w:rsid w:val="001B7BB9"/>
    <w:rsid w:val="001C108F"/>
    <w:rsid w:val="001C1C18"/>
    <w:rsid w:val="001C24C5"/>
    <w:rsid w:val="001C26A3"/>
    <w:rsid w:val="001C3B6D"/>
    <w:rsid w:val="001C563B"/>
    <w:rsid w:val="001C7ECD"/>
    <w:rsid w:val="001D0F78"/>
    <w:rsid w:val="001D1367"/>
    <w:rsid w:val="001D3CAC"/>
    <w:rsid w:val="001D6068"/>
    <w:rsid w:val="001D6D6D"/>
    <w:rsid w:val="001D6FD1"/>
    <w:rsid w:val="001E04C5"/>
    <w:rsid w:val="001E14CD"/>
    <w:rsid w:val="001E335E"/>
    <w:rsid w:val="001E42C3"/>
    <w:rsid w:val="001E718A"/>
    <w:rsid w:val="001E7535"/>
    <w:rsid w:val="001E7ACD"/>
    <w:rsid w:val="001F000D"/>
    <w:rsid w:val="001F0404"/>
    <w:rsid w:val="001F04AC"/>
    <w:rsid w:val="001F07C3"/>
    <w:rsid w:val="001F0E20"/>
    <w:rsid w:val="001F360F"/>
    <w:rsid w:val="001F49C6"/>
    <w:rsid w:val="001F500D"/>
    <w:rsid w:val="001F5339"/>
    <w:rsid w:val="001F7E9D"/>
    <w:rsid w:val="0020035B"/>
    <w:rsid w:val="00200A6B"/>
    <w:rsid w:val="00200CD8"/>
    <w:rsid w:val="00200E2E"/>
    <w:rsid w:val="00201271"/>
    <w:rsid w:val="0020130A"/>
    <w:rsid w:val="002015F2"/>
    <w:rsid w:val="00201F44"/>
    <w:rsid w:val="002021C7"/>
    <w:rsid w:val="00203BD7"/>
    <w:rsid w:val="00207042"/>
    <w:rsid w:val="00207749"/>
    <w:rsid w:val="00211C05"/>
    <w:rsid w:val="00212690"/>
    <w:rsid w:val="00213D72"/>
    <w:rsid w:val="00214684"/>
    <w:rsid w:val="002169F8"/>
    <w:rsid w:val="00217F6F"/>
    <w:rsid w:val="002206F6"/>
    <w:rsid w:val="00222968"/>
    <w:rsid w:val="00222BF2"/>
    <w:rsid w:val="00222C24"/>
    <w:rsid w:val="00223666"/>
    <w:rsid w:val="00223A57"/>
    <w:rsid w:val="00224700"/>
    <w:rsid w:val="00225C6C"/>
    <w:rsid w:val="00226120"/>
    <w:rsid w:val="00226170"/>
    <w:rsid w:val="00227369"/>
    <w:rsid w:val="002307C5"/>
    <w:rsid w:val="00230B2E"/>
    <w:rsid w:val="00231B95"/>
    <w:rsid w:val="0023237D"/>
    <w:rsid w:val="00232988"/>
    <w:rsid w:val="00234D71"/>
    <w:rsid w:val="0023519C"/>
    <w:rsid w:val="00235215"/>
    <w:rsid w:val="002374F5"/>
    <w:rsid w:val="002400DF"/>
    <w:rsid w:val="002408B8"/>
    <w:rsid w:val="00245537"/>
    <w:rsid w:val="0024578D"/>
    <w:rsid w:val="00247BE1"/>
    <w:rsid w:val="0025038D"/>
    <w:rsid w:val="0025076E"/>
    <w:rsid w:val="00251709"/>
    <w:rsid w:val="00251E70"/>
    <w:rsid w:val="0025306D"/>
    <w:rsid w:val="00253323"/>
    <w:rsid w:val="00256A2D"/>
    <w:rsid w:val="00256DCA"/>
    <w:rsid w:val="002573A4"/>
    <w:rsid w:val="0025793E"/>
    <w:rsid w:val="00257AA8"/>
    <w:rsid w:val="00261249"/>
    <w:rsid w:val="00261377"/>
    <w:rsid w:val="00265373"/>
    <w:rsid w:val="002656E2"/>
    <w:rsid w:val="00267138"/>
    <w:rsid w:val="00267A77"/>
    <w:rsid w:val="00270435"/>
    <w:rsid w:val="00270795"/>
    <w:rsid w:val="00272B0F"/>
    <w:rsid w:val="00274AC1"/>
    <w:rsid w:val="00274D18"/>
    <w:rsid w:val="002766C6"/>
    <w:rsid w:val="00276A4B"/>
    <w:rsid w:val="00277A97"/>
    <w:rsid w:val="0028316A"/>
    <w:rsid w:val="00283924"/>
    <w:rsid w:val="00283AF6"/>
    <w:rsid w:val="0028411E"/>
    <w:rsid w:val="0028599F"/>
    <w:rsid w:val="00285E7B"/>
    <w:rsid w:val="0028617F"/>
    <w:rsid w:val="00286B74"/>
    <w:rsid w:val="00286E48"/>
    <w:rsid w:val="00287518"/>
    <w:rsid w:val="0028788C"/>
    <w:rsid w:val="00294190"/>
    <w:rsid w:val="00295118"/>
    <w:rsid w:val="002960C1"/>
    <w:rsid w:val="002971CD"/>
    <w:rsid w:val="002A10A7"/>
    <w:rsid w:val="002A11EB"/>
    <w:rsid w:val="002A161D"/>
    <w:rsid w:val="002A1E73"/>
    <w:rsid w:val="002A2FA7"/>
    <w:rsid w:val="002A41E4"/>
    <w:rsid w:val="002A48D4"/>
    <w:rsid w:val="002A646E"/>
    <w:rsid w:val="002A6A44"/>
    <w:rsid w:val="002A729D"/>
    <w:rsid w:val="002B0035"/>
    <w:rsid w:val="002B0C47"/>
    <w:rsid w:val="002B2487"/>
    <w:rsid w:val="002B416F"/>
    <w:rsid w:val="002B517D"/>
    <w:rsid w:val="002B5217"/>
    <w:rsid w:val="002B5E36"/>
    <w:rsid w:val="002B763D"/>
    <w:rsid w:val="002C1C67"/>
    <w:rsid w:val="002C1D51"/>
    <w:rsid w:val="002C4630"/>
    <w:rsid w:val="002C49A2"/>
    <w:rsid w:val="002C4DEC"/>
    <w:rsid w:val="002C5126"/>
    <w:rsid w:val="002C525D"/>
    <w:rsid w:val="002C5A51"/>
    <w:rsid w:val="002C6126"/>
    <w:rsid w:val="002C6CD6"/>
    <w:rsid w:val="002D01C1"/>
    <w:rsid w:val="002D0DED"/>
    <w:rsid w:val="002D19EA"/>
    <w:rsid w:val="002D2084"/>
    <w:rsid w:val="002D421C"/>
    <w:rsid w:val="002D4CA1"/>
    <w:rsid w:val="002D4D7E"/>
    <w:rsid w:val="002D5C4D"/>
    <w:rsid w:val="002D5FFC"/>
    <w:rsid w:val="002D6A92"/>
    <w:rsid w:val="002D7AA9"/>
    <w:rsid w:val="002E2828"/>
    <w:rsid w:val="002E2EF5"/>
    <w:rsid w:val="002E3332"/>
    <w:rsid w:val="002E4695"/>
    <w:rsid w:val="002E4A7C"/>
    <w:rsid w:val="002E51AF"/>
    <w:rsid w:val="002E5A72"/>
    <w:rsid w:val="002E6180"/>
    <w:rsid w:val="002E68FB"/>
    <w:rsid w:val="002E77E1"/>
    <w:rsid w:val="002F0868"/>
    <w:rsid w:val="002F0C97"/>
    <w:rsid w:val="002F1319"/>
    <w:rsid w:val="002F2126"/>
    <w:rsid w:val="002F2544"/>
    <w:rsid w:val="002F2A02"/>
    <w:rsid w:val="002F2A19"/>
    <w:rsid w:val="002F2CB9"/>
    <w:rsid w:val="002F414D"/>
    <w:rsid w:val="002F57EE"/>
    <w:rsid w:val="002F674C"/>
    <w:rsid w:val="002F7161"/>
    <w:rsid w:val="002F78E5"/>
    <w:rsid w:val="00300B1D"/>
    <w:rsid w:val="003011B9"/>
    <w:rsid w:val="00302CD1"/>
    <w:rsid w:val="00304796"/>
    <w:rsid w:val="00304F7C"/>
    <w:rsid w:val="00304FA8"/>
    <w:rsid w:val="0030519D"/>
    <w:rsid w:val="003057D7"/>
    <w:rsid w:val="00306A95"/>
    <w:rsid w:val="00313B98"/>
    <w:rsid w:val="003152BB"/>
    <w:rsid w:val="00317288"/>
    <w:rsid w:val="00317B9D"/>
    <w:rsid w:val="003203B3"/>
    <w:rsid w:val="003206F6"/>
    <w:rsid w:val="003216FE"/>
    <w:rsid w:val="003221BE"/>
    <w:rsid w:val="003227DB"/>
    <w:rsid w:val="003232CD"/>
    <w:rsid w:val="00323533"/>
    <w:rsid w:val="003243C9"/>
    <w:rsid w:val="00324869"/>
    <w:rsid w:val="00326943"/>
    <w:rsid w:val="00326E0A"/>
    <w:rsid w:val="003305F5"/>
    <w:rsid w:val="00330AD3"/>
    <w:rsid w:val="00330E95"/>
    <w:rsid w:val="0033304C"/>
    <w:rsid w:val="00333B61"/>
    <w:rsid w:val="00335263"/>
    <w:rsid w:val="003373C5"/>
    <w:rsid w:val="003374B7"/>
    <w:rsid w:val="0033753D"/>
    <w:rsid w:val="003437EF"/>
    <w:rsid w:val="00345D9B"/>
    <w:rsid w:val="00346409"/>
    <w:rsid w:val="0034666B"/>
    <w:rsid w:val="0034689B"/>
    <w:rsid w:val="00351108"/>
    <w:rsid w:val="00351AC5"/>
    <w:rsid w:val="00352443"/>
    <w:rsid w:val="00352758"/>
    <w:rsid w:val="00353271"/>
    <w:rsid w:val="00357C1E"/>
    <w:rsid w:val="0036158C"/>
    <w:rsid w:val="0036235A"/>
    <w:rsid w:val="00362E4A"/>
    <w:rsid w:val="0036319C"/>
    <w:rsid w:val="0036464B"/>
    <w:rsid w:val="00367A44"/>
    <w:rsid w:val="003720D2"/>
    <w:rsid w:val="0037272E"/>
    <w:rsid w:val="00373E3A"/>
    <w:rsid w:val="00374670"/>
    <w:rsid w:val="00374A73"/>
    <w:rsid w:val="0037624E"/>
    <w:rsid w:val="00376D48"/>
    <w:rsid w:val="003770C0"/>
    <w:rsid w:val="00377153"/>
    <w:rsid w:val="00380236"/>
    <w:rsid w:val="0038356D"/>
    <w:rsid w:val="003852CB"/>
    <w:rsid w:val="0038675A"/>
    <w:rsid w:val="003867E5"/>
    <w:rsid w:val="00387531"/>
    <w:rsid w:val="0038766F"/>
    <w:rsid w:val="00387B65"/>
    <w:rsid w:val="00391BDA"/>
    <w:rsid w:val="00391CB7"/>
    <w:rsid w:val="003921BB"/>
    <w:rsid w:val="00393307"/>
    <w:rsid w:val="00393554"/>
    <w:rsid w:val="0039378B"/>
    <w:rsid w:val="0039412A"/>
    <w:rsid w:val="00394BB7"/>
    <w:rsid w:val="0039684E"/>
    <w:rsid w:val="00396D27"/>
    <w:rsid w:val="00397B45"/>
    <w:rsid w:val="003A0BE7"/>
    <w:rsid w:val="003A1C34"/>
    <w:rsid w:val="003A25B4"/>
    <w:rsid w:val="003A4481"/>
    <w:rsid w:val="003A4833"/>
    <w:rsid w:val="003A7917"/>
    <w:rsid w:val="003B01A4"/>
    <w:rsid w:val="003B19B8"/>
    <w:rsid w:val="003B1C4F"/>
    <w:rsid w:val="003B5AC0"/>
    <w:rsid w:val="003B6AC2"/>
    <w:rsid w:val="003B6C39"/>
    <w:rsid w:val="003B6DFF"/>
    <w:rsid w:val="003B781D"/>
    <w:rsid w:val="003C144A"/>
    <w:rsid w:val="003C1803"/>
    <w:rsid w:val="003C1B36"/>
    <w:rsid w:val="003C5825"/>
    <w:rsid w:val="003C687A"/>
    <w:rsid w:val="003C7B4B"/>
    <w:rsid w:val="003D17C6"/>
    <w:rsid w:val="003D1999"/>
    <w:rsid w:val="003D29FB"/>
    <w:rsid w:val="003D2C11"/>
    <w:rsid w:val="003D2FDC"/>
    <w:rsid w:val="003D35A6"/>
    <w:rsid w:val="003D4203"/>
    <w:rsid w:val="003D5E3B"/>
    <w:rsid w:val="003D5FBC"/>
    <w:rsid w:val="003E0F4B"/>
    <w:rsid w:val="003E4646"/>
    <w:rsid w:val="003E513A"/>
    <w:rsid w:val="003E6201"/>
    <w:rsid w:val="003E65CD"/>
    <w:rsid w:val="003E6939"/>
    <w:rsid w:val="003E7E1B"/>
    <w:rsid w:val="003E7F68"/>
    <w:rsid w:val="003F1917"/>
    <w:rsid w:val="003F206C"/>
    <w:rsid w:val="003F2A6D"/>
    <w:rsid w:val="003F3580"/>
    <w:rsid w:val="003F4519"/>
    <w:rsid w:val="003F4E28"/>
    <w:rsid w:val="003F5950"/>
    <w:rsid w:val="003F608E"/>
    <w:rsid w:val="003F65AB"/>
    <w:rsid w:val="003F65EA"/>
    <w:rsid w:val="003F6C68"/>
    <w:rsid w:val="003F7225"/>
    <w:rsid w:val="003F73A9"/>
    <w:rsid w:val="003F7678"/>
    <w:rsid w:val="003F7A42"/>
    <w:rsid w:val="003F7CFF"/>
    <w:rsid w:val="00400AC0"/>
    <w:rsid w:val="0040254A"/>
    <w:rsid w:val="0040336D"/>
    <w:rsid w:val="00404AC6"/>
    <w:rsid w:val="0040574C"/>
    <w:rsid w:val="0040592C"/>
    <w:rsid w:val="00411657"/>
    <w:rsid w:val="00415007"/>
    <w:rsid w:val="004161FB"/>
    <w:rsid w:val="00416DE3"/>
    <w:rsid w:val="00417D5C"/>
    <w:rsid w:val="0042178D"/>
    <w:rsid w:val="00422A30"/>
    <w:rsid w:val="004232BA"/>
    <w:rsid w:val="00424B2B"/>
    <w:rsid w:val="00425047"/>
    <w:rsid w:val="00425250"/>
    <w:rsid w:val="00426305"/>
    <w:rsid w:val="00427727"/>
    <w:rsid w:val="00430003"/>
    <w:rsid w:val="004308C6"/>
    <w:rsid w:val="00433CE7"/>
    <w:rsid w:val="0043614E"/>
    <w:rsid w:val="00436FB6"/>
    <w:rsid w:val="00437C5E"/>
    <w:rsid w:val="00440028"/>
    <w:rsid w:val="00440942"/>
    <w:rsid w:val="00442298"/>
    <w:rsid w:val="004431E7"/>
    <w:rsid w:val="0044451A"/>
    <w:rsid w:val="004450A8"/>
    <w:rsid w:val="004453DD"/>
    <w:rsid w:val="00445652"/>
    <w:rsid w:val="00445E25"/>
    <w:rsid w:val="00447E2F"/>
    <w:rsid w:val="00450F17"/>
    <w:rsid w:val="00452948"/>
    <w:rsid w:val="00452F4F"/>
    <w:rsid w:val="004539F4"/>
    <w:rsid w:val="00454102"/>
    <w:rsid w:val="0045429C"/>
    <w:rsid w:val="00454CD0"/>
    <w:rsid w:val="00455C9C"/>
    <w:rsid w:val="00456354"/>
    <w:rsid w:val="004565C4"/>
    <w:rsid w:val="00456848"/>
    <w:rsid w:val="0045722B"/>
    <w:rsid w:val="00457578"/>
    <w:rsid w:val="00457F32"/>
    <w:rsid w:val="00461B1D"/>
    <w:rsid w:val="00462E20"/>
    <w:rsid w:val="004639DD"/>
    <w:rsid w:val="0046459F"/>
    <w:rsid w:val="00464996"/>
    <w:rsid w:val="00464C3E"/>
    <w:rsid w:val="004671C9"/>
    <w:rsid w:val="00470ED4"/>
    <w:rsid w:val="004717BC"/>
    <w:rsid w:val="00471EE0"/>
    <w:rsid w:val="00471F51"/>
    <w:rsid w:val="004723F5"/>
    <w:rsid w:val="00472940"/>
    <w:rsid w:val="00472D62"/>
    <w:rsid w:val="00473282"/>
    <w:rsid w:val="004735F2"/>
    <w:rsid w:val="00474D50"/>
    <w:rsid w:val="004751BD"/>
    <w:rsid w:val="004755A6"/>
    <w:rsid w:val="00475C16"/>
    <w:rsid w:val="00476EFC"/>
    <w:rsid w:val="00480787"/>
    <w:rsid w:val="00480B1F"/>
    <w:rsid w:val="004810AD"/>
    <w:rsid w:val="00481344"/>
    <w:rsid w:val="00481698"/>
    <w:rsid w:val="00481790"/>
    <w:rsid w:val="00482D21"/>
    <w:rsid w:val="00485CE2"/>
    <w:rsid w:val="00486CA0"/>
    <w:rsid w:val="004875BC"/>
    <w:rsid w:val="004875C2"/>
    <w:rsid w:val="00490B3D"/>
    <w:rsid w:val="00491429"/>
    <w:rsid w:val="00493326"/>
    <w:rsid w:val="00493F1E"/>
    <w:rsid w:val="0049566C"/>
    <w:rsid w:val="00496DB3"/>
    <w:rsid w:val="004A05BC"/>
    <w:rsid w:val="004A1181"/>
    <w:rsid w:val="004A1D2A"/>
    <w:rsid w:val="004A3EC3"/>
    <w:rsid w:val="004A441E"/>
    <w:rsid w:val="004A4C37"/>
    <w:rsid w:val="004A5920"/>
    <w:rsid w:val="004A637B"/>
    <w:rsid w:val="004A771A"/>
    <w:rsid w:val="004B0B99"/>
    <w:rsid w:val="004B20BA"/>
    <w:rsid w:val="004B3F11"/>
    <w:rsid w:val="004B51E5"/>
    <w:rsid w:val="004B5599"/>
    <w:rsid w:val="004B560D"/>
    <w:rsid w:val="004B58DD"/>
    <w:rsid w:val="004B6F99"/>
    <w:rsid w:val="004C0938"/>
    <w:rsid w:val="004C1844"/>
    <w:rsid w:val="004C1A32"/>
    <w:rsid w:val="004C21B5"/>
    <w:rsid w:val="004C2AE3"/>
    <w:rsid w:val="004C308B"/>
    <w:rsid w:val="004C3230"/>
    <w:rsid w:val="004C46EA"/>
    <w:rsid w:val="004C56AB"/>
    <w:rsid w:val="004C6E4B"/>
    <w:rsid w:val="004D0A62"/>
    <w:rsid w:val="004D1275"/>
    <w:rsid w:val="004D1F2E"/>
    <w:rsid w:val="004D28CB"/>
    <w:rsid w:val="004D2F88"/>
    <w:rsid w:val="004D3487"/>
    <w:rsid w:val="004D45E0"/>
    <w:rsid w:val="004D4A30"/>
    <w:rsid w:val="004D5616"/>
    <w:rsid w:val="004D57A3"/>
    <w:rsid w:val="004D5CC8"/>
    <w:rsid w:val="004D675D"/>
    <w:rsid w:val="004D6DF3"/>
    <w:rsid w:val="004D7186"/>
    <w:rsid w:val="004E10D6"/>
    <w:rsid w:val="004E2AA1"/>
    <w:rsid w:val="004E2C30"/>
    <w:rsid w:val="004E3135"/>
    <w:rsid w:val="004E3381"/>
    <w:rsid w:val="004E3394"/>
    <w:rsid w:val="004E48C0"/>
    <w:rsid w:val="004E536D"/>
    <w:rsid w:val="004E54BA"/>
    <w:rsid w:val="004E6E6F"/>
    <w:rsid w:val="004E7B05"/>
    <w:rsid w:val="004F204E"/>
    <w:rsid w:val="004F2B85"/>
    <w:rsid w:val="004F489A"/>
    <w:rsid w:val="004F4D51"/>
    <w:rsid w:val="004F547C"/>
    <w:rsid w:val="004F6CC6"/>
    <w:rsid w:val="004F73F0"/>
    <w:rsid w:val="004F7F7E"/>
    <w:rsid w:val="00500D80"/>
    <w:rsid w:val="0050106C"/>
    <w:rsid w:val="00501258"/>
    <w:rsid w:val="00502465"/>
    <w:rsid w:val="00504AED"/>
    <w:rsid w:val="00505FD1"/>
    <w:rsid w:val="00507391"/>
    <w:rsid w:val="005104BB"/>
    <w:rsid w:val="00510921"/>
    <w:rsid w:val="00510B7E"/>
    <w:rsid w:val="005119FF"/>
    <w:rsid w:val="005128F4"/>
    <w:rsid w:val="00512E9B"/>
    <w:rsid w:val="0051649C"/>
    <w:rsid w:val="005168A9"/>
    <w:rsid w:val="0052090C"/>
    <w:rsid w:val="00520BE0"/>
    <w:rsid w:val="00521CF1"/>
    <w:rsid w:val="00523BEC"/>
    <w:rsid w:val="00524789"/>
    <w:rsid w:val="005268B5"/>
    <w:rsid w:val="005273EE"/>
    <w:rsid w:val="0052745D"/>
    <w:rsid w:val="005317F8"/>
    <w:rsid w:val="00532DF1"/>
    <w:rsid w:val="005337A9"/>
    <w:rsid w:val="00537D34"/>
    <w:rsid w:val="00537F20"/>
    <w:rsid w:val="00540E7F"/>
    <w:rsid w:val="0054435D"/>
    <w:rsid w:val="00544459"/>
    <w:rsid w:val="00545FF5"/>
    <w:rsid w:val="0054665E"/>
    <w:rsid w:val="00546F8C"/>
    <w:rsid w:val="005471EA"/>
    <w:rsid w:val="005478F2"/>
    <w:rsid w:val="0055074E"/>
    <w:rsid w:val="00551091"/>
    <w:rsid w:val="00552A7D"/>
    <w:rsid w:val="005541FD"/>
    <w:rsid w:val="00556E2C"/>
    <w:rsid w:val="00557603"/>
    <w:rsid w:val="005626F3"/>
    <w:rsid w:val="00563F85"/>
    <w:rsid w:val="00566AB9"/>
    <w:rsid w:val="0056770A"/>
    <w:rsid w:val="00567DED"/>
    <w:rsid w:val="00570183"/>
    <w:rsid w:val="00570398"/>
    <w:rsid w:val="00570CC0"/>
    <w:rsid w:val="005714B4"/>
    <w:rsid w:val="0057347B"/>
    <w:rsid w:val="005741FE"/>
    <w:rsid w:val="00574D58"/>
    <w:rsid w:val="00575AE6"/>
    <w:rsid w:val="0057603F"/>
    <w:rsid w:val="00576AAD"/>
    <w:rsid w:val="00576DA9"/>
    <w:rsid w:val="0058302B"/>
    <w:rsid w:val="0058670A"/>
    <w:rsid w:val="005869DF"/>
    <w:rsid w:val="005912F0"/>
    <w:rsid w:val="00592166"/>
    <w:rsid w:val="005934FC"/>
    <w:rsid w:val="00594088"/>
    <w:rsid w:val="00595547"/>
    <w:rsid w:val="00597288"/>
    <w:rsid w:val="005A772E"/>
    <w:rsid w:val="005B119D"/>
    <w:rsid w:val="005B2C1D"/>
    <w:rsid w:val="005B30B3"/>
    <w:rsid w:val="005B3A57"/>
    <w:rsid w:val="005B407F"/>
    <w:rsid w:val="005B4742"/>
    <w:rsid w:val="005B5C05"/>
    <w:rsid w:val="005B63D3"/>
    <w:rsid w:val="005B65F5"/>
    <w:rsid w:val="005B67CE"/>
    <w:rsid w:val="005B6924"/>
    <w:rsid w:val="005B6961"/>
    <w:rsid w:val="005B717C"/>
    <w:rsid w:val="005C7142"/>
    <w:rsid w:val="005C78F6"/>
    <w:rsid w:val="005D22AD"/>
    <w:rsid w:val="005D2C4E"/>
    <w:rsid w:val="005D2DE6"/>
    <w:rsid w:val="005D2F50"/>
    <w:rsid w:val="005D5AAD"/>
    <w:rsid w:val="005D652D"/>
    <w:rsid w:val="005D675D"/>
    <w:rsid w:val="005D7449"/>
    <w:rsid w:val="005D76D3"/>
    <w:rsid w:val="005E2117"/>
    <w:rsid w:val="005E2A23"/>
    <w:rsid w:val="005E31EA"/>
    <w:rsid w:val="005E3FDC"/>
    <w:rsid w:val="005E656B"/>
    <w:rsid w:val="005E6D6E"/>
    <w:rsid w:val="005E73D2"/>
    <w:rsid w:val="005F0A74"/>
    <w:rsid w:val="005F1CD4"/>
    <w:rsid w:val="005F2EB8"/>
    <w:rsid w:val="005F31E4"/>
    <w:rsid w:val="005F5078"/>
    <w:rsid w:val="005F61A8"/>
    <w:rsid w:val="005F6343"/>
    <w:rsid w:val="005F6FE1"/>
    <w:rsid w:val="00600C0A"/>
    <w:rsid w:val="00602029"/>
    <w:rsid w:val="00602035"/>
    <w:rsid w:val="00602105"/>
    <w:rsid w:val="006037AB"/>
    <w:rsid w:val="0060532B"/>
    <w:rsid w:val="006061E2"/>
    <w:rsid w:val="00607A37"/>
    <w:rsid w:val="006108BE"/>
    <w:rsid w:val="006116CD"/>
    <w:rsid w:val="00611D7F"/>
    <w:rsid w:val="00612D0D"/>
    <w:rsid w:val="00612FCB"/>
    <w:rsid w:val="006138E3"/>
    <w:rsid w:val="006144C4"/>
    <w:rsid w:val="00617086"/>
    <w:rsid w:val="006217D0"/>
    <w:rsid w:val="00623BB0"/>
    <w:rsid w:val="00625399"/>
    <w:rsid w:val="006257D6"/>
    <w:rsid w:val="00626DCB"/>
    <w:rsid w:val="00626EAD"/>
    <w:rsid w:val="006300E6"/>
    <w:rsid w:val="00630156"/>
    <w:rsid w:val="006302B7"/>
    <w:rsid w:val="006308C6"/>
    <w:rsid w:val="00630959"/>
    <w:rsid w:val="006356E1"/>
    <w:rsid w:val="0064197D"/>
    <w:rsid w:val="00641991"/>
    <w:rsid w:val="00642971"/>
    <w:rsid w:val="00643011"/>
    <w:rsid w:val="0064432C"/>
    <w:rsid w:val="00644ED9"/>
    <w:rsid w:val="0064509B"/>
    <w:rsid w:val="00645676"/>
    <w:rsid w:val="006468F0"/>
    <w:rsid w:val="00646F33"/>
    <w:rsid w:val="00650139"/>
    <w:rsid w:val="00651BB7"/>
    <w:rsid w:val="0065514C"/>
    <w:rsid w:val="006558E9"/>
    <w:rsid w:val="00656FD8"/>
    <w:rsid w:val="0065701C"/>
    <w:rsid w:val="006610B6"/>
    <w:rsid w:val="00661F1D"/>
    <w:rsid w:val="006625A5"/>
    <w:rsid w:val="0066376B"/>
    <w:rsid w:val="006647C1"/>
    <w:rsid w:val="006648F5"/>
    <w:rsid w:val="0066778E"/>
    <w:rsid w:val="00667A16"/>
    <w:rsid w:val="00677631"/>
    <w:rsid w:val="00680429"/>
    <w:rsid w:val="00680503"/>
    <w:rsid w:val="00681686"/>
    <w:rsid w:val="00681BA3"/>
    <w:rsid w:val="006869AD"/>
    <w:rsid w:val="00687529"/>
    <w:rsid w:val="00687943"/>
    <w:rsid w:val="00690690"/>
    <w:rsid w:val="00690B56"/>
    <w:rsid w:val="00691D7B"/>
    <w:rsid w:val="006937E8"/>
    <w:rsid w:val="006A0398"/>
    <w:rsid w:val="006A2747"/>
    <w:rsid w:val="006A3A4A"/>
    <w:rsid w:val="006A3DB7"/>
    <w:rsid w:val="006A4940"/>
    <w:rsid w:val="006A536F"/>
    <w:rsid w:val="006A6E94"/>
    <w:rsid w:val="006B0728"/>
    <w:rsid w:val="006B2053"/>
    <w:rsid w:val="006B2742"/>
    <w:rsid w:val="006B5528"/>
    <w:rsid w:val="006B58B1"/>
    <w:rsid w:val="006B5D89"/>
    <w:rsid w:val="006B6C23"/>
    <w:rsid w:val="006C0141"/>
    <w:rsid w:val="006C1C0C"/>
    <w:rsid w:val="006C1F9F"/>
    <w:rsid w:val="006C2003"/>
    <w:rsid w:val="006C2C0B"/>
    <w:rsid w:val="006C317B"/>
    <w:rsid w:val="006C3D37"/>
    <w:rsid w:val="006C4501"/>
    <w:rsid w:val="006C6B8F"/>
    <w:rsid w:val="006C7C8E"/>
    <w:rsid w:val="006C7EFD"/>
    <w:rsid w:val="006D0152"/>
    <w:rsid w:val="006D20CB"/>
    <w:rsid w:val="006D320D"/>
    <w:rsid w:val="006D3446"/>
    <w:rsid w:val="006D41D6"/>
    <w:rsid w:val="006D4E3D"/>
    <w:rsid w:val="006D7CAA"/>
    <w:rsid w:val="006E139E"/>
    <w:rsid w:val="006E1944"/>
    <w:rsid w:val="006E243E"/>
    <w:rsid w:val="006E299D"/>
    <w:rsid w:val="006E4B34"/>
    <w:rsid w:val="006E4E65"/>
    <w:rsid w:val="006E6E71"/>
    <w:rsid w:val="006E71C0"/>
    <w:rsid w:val="006E7E02"/>
    <w:rsid w:val="006F12D0"/>
    <w:rsid w:val="006F286F"/>
    <w:rsid w:val="006F3CDD"/>
    <w:rsid w:val="006F515B"/>
    <w:rsid w:val="006F5801"/>
    <w:rsid w:val="006F5B63"/>
    <w:rsid w:val="006F76CB"/>
    <w:rsid w:val="006F7743"/>
    <w:rsid w:val="00700183"/>
    <w:rsid w:val="007017A9"/>
    <w:rsid w:val="00701AB7"/>
    <w:rsid w:val="0070275E"/>
    <w:rsid w:val="00702A37"/>
    <w:rsid w:val="00702A9B"/>
    <w:rsid w:val="00702ADC"/>
    <w:rsid w:val="00703134"/>
    <w:rsid w:val="00703219"/>
    <w:rsid w:val="007035FA"/>
    <w:rsid w:val="00705449"/>
    <w:rsid w:val="00710F60"/>
    <w:rsid w:val="0071338F"/>
    <w:rsid w:val="00713851"/>
    <w:rsid w:val="0071413E"/>
    <w:rsid w:val="00714887"/>
    <w:rsid w:val="0071602E"/>
    <w:rsid w:val="00717D59"/>
    <w:rsid w:val="007201CE"/>
    <w:rsid w:val="00720A74"/>
    <w:rsid w:val="00720D6C"/>
    <w:rsid w:val="00721084"/>
    <w:rsid w:val="007241CC"/>
    <w:rsid w:val="00724868"/>
    <w:rsid w:val="00725AA8"/>
    <w:rsid w:val="00726372"/>
    <w:rsid w:val="00726F8C"/>
    <w:rsid w:val="00730607"/>
    <w:rsid w:val="0073152C"/>
    <w:rsid w:val="00733790"/>
    <w:rsid w:val="00733D48"/>
    <w:rsid w:val="00734423"/>
    <w:rsid w:val="00736794"/>
    <w:rsid w:val="00736F94"/>
    <w:rsid w:val="00737151"/>
    <w:rsid w:val="00737F9D"/>
    <w:rsid w:val="007407B4"/>
    <w:rsid w:val="00740ED4"/>
    <w:rsid w:val="00740F74"/>
    <w:rsid w:val="007411F6"/>
    <w:rsid w:val="00741B84"/>
    <w:rsid w:val="007420E8"/>
    <w:rsid w:val="0074516B"/>
    <w:rsid w:val="00745D4C"/>
    <w:rsid w:val="00747792"/>
    <w:rsid w:val="0074793A"/>
    <w:rsid w:val="00747AB9"/>
    <w:rsid w:val="007508BC"/>
    <w:rsid w:val="0075163F"/>
    <w:rsid w:val="007535CC"/>
    <w:rsid w:val="00756C3F"/>
    <w:rsid w:val="007613E6"/>
    <w:rsid w:val="00761B98"/>
    <w:rsid w:val="00762323"/>
    <w:rsid w:val="00762F77"/>
    <w:rsid w:val="007644D5"/>
    <w:rsid w:val="00764EE2"/>
    <w:rsid w:val="00765338"/>
    <w:rsid w:val="00765661"/>
    <w:rsid w:val="00766D79"/>
    <w:rsid w:val="00766DDB"/>
    <w:rsid w:val="00767A13"/>
    <w:rsid w:val="00770BB7"/>
    <w:rsid w:val="00771675"/>
    <w:rsid w:val="00771AAB"/>
    <w:rsid w:val="00772C48"/>
    <w:rsid w:val="00773712"/>
    <w:rsid w:val="0077605C"/>
    <w:rsid w:val="00777662"/>
    <w:rsid w:val="00780EDC"/>
    <w:rsid w:val="0078165F"/>
    <w:rsid w:val="00781F25"/>
    <w:rsid w:val="00782CE9"/>
    <w:rsid w:val="00784117"/>
    <w:rsid w:val="0078432C"/>
    <w:rsid w:val="007846C2"/>
    <w:rsid w:val="00786098"/>
    <w:rsid w:val="00786ED2"/>
    <w:rsid w:val="00787A95"/>
    <w:rsid w:val="00792C28"/>
    <w:rsid w:val="00793E29"/>
    <w:rsid w:val="007943CF"/>
    <w:rsid w:val="00795918"/>
    <w:rsid w:val="007966F0"/>
    <w:rsid w:val="007A1369"/>
    <w:rsid w:val="007A2709"/>
    <w:rsid w:val="007A3017"/>
    <w:rsid w:val="007A305B"/>
    <w:rsid w:val="007A3796"/>
    <w:rsid w:val="007A3AAA"/>
    <w:rsid w:val="007A53FF"/>
    <w:rsid w:val="007A6ADA"/>
    <w:rsid w:val="007A79C0"/>
    <w:rsid w:val="007B0941"/>
    <w:rsid w:val="007B2E37"/>
    <w:rsid w:val="007B38A4"/>
    <w:rsid w:val="007B4E89"/>
    <w:rsid w:val="007B5CB3"/>
    <w:rsid w:val="007B68C1"/>
    <w:rsid w:val="007C6250"/>
    <w:rsid w:val="007C6644"/>
    <w:rsid w:val="007C6E0E"/>
    <w:rsid w:val="007C6E4B"/>
    <w:rsid w:val="007C6E93"/>
    <w:rsid w:val="007C7AFA"/>
    <w:rsid w:val="007C7B2C"/>
    <w:rsid w:val="007D0031"/>
    <w:rsid w:val="007D04A0"/>
    <w:rsid w:val="007D06D2"/>
    <w:rsid w:val="007D0965"/>
    <w:rsid w:val="007D0A03"/>
    <w:rsid w:val="007D0B96"/>
    <w:rsid w:val="007D1153"/>
    <w:rsid w:val="007D1A80"/>
    <w:rsid w:val="007D3218"/>
    <w:rsid w:val="007D38FE"/>
    <w:rsid w:val="007D4F58"/>
    <w:rsid w:val="007D5CE6"/>
    <w:rsid w:val="007D6E3C"/>
    <w:rsid w:val="007D7A2C"/>
    <w:rsid w:val="007E102D"/>
    <w:rsid w:val="007E2C47"/>
    <w:rsid w:val="007E30D6"/>
    <w:rsid w:val="007E3266"/>
    <w:rsid w:val="007E4F9A"/>
    <w:rsid w:val="007E597E"/>
    <w:rsid w:val="007E5A04"/>
    <w:rsid w:val="007E690A"/>
    <w:rsid w:val="007E703E"/>
    <w:rsid w:val="007E7E0C"/>
    <w:rsid w:val="007F0030"/>
    <w:rsid w:val="007F116A"/>
    <w:rsid w:val="007F205A"/>
    <w:rsid w:val="007F299D"/>
    <w:rsid w:val="007F2FDB"/>
    <w:rsid w:val="007F30F6"/>
    <w:rsid w:val="007F4048"/>
    <w:rsid w:val="007F4907"/>
    <w:rsid w:val="007F523C"/>
    <w:rsid w:val="007F5C4A"/>
    <w:rsid w:val="007F5E81"/>
    <w:rsid w:val="007F5F56"/>
    <w:rsid w:val="007F6EF6"/>
    <w:rsid w:val="007F711F"/>
    <w:rsid w:val="00800C4D"/>
    <w:rsid w:val="00801C9C"/>
    <w:rsid w:val="00803DED"/>
    <w:rsid w:val="008052F4"/>
    <w:rsid w:val="00805FCA"/>
    <w:rsid w:val="008061B2"/>
    <w:rsid w:val="00806BF1"/>
    <w:rsid w:val="00806D08"/>
    <w:rsid w:val="00810385"/>
    <w:rsid w:val="00810714"/>
    <w:rsid w:val="00810894"/>
    <w:rsid w:val="00810F0E"/>
    <w:rsid w:val="008115CB"/>
    <w:rsid w:val="0081212E"/>
    <w:rsid w:val="00812437"/>
    <w:rsid w:val="00812640"/>
    <w:rsid w:val="008135DA"/>
    <w:rsid w:val="008146E5"/>
    <w:rsid w:val="008160D5"/>
    <w:rsid w:val="0082232A"/>
    <w:rsid w:val="0082257A"/>
    <w:rsid w:val="00822C88"/>
    <w:rsid w:val="00823237"/>
    <w:rsid w:val="00823887"/>
    <w:rsid w:val="00823A1C"/>
    <w:rsid w:val="00824976"/>
    <w:rsid w:val="00824E04"/>
    <w:rsid w:val="00824F75"/>
    <w:rsid w:val="00825489"/>
    <w:rsid w:val="00827596"/>
    <w:rsid w:val="008308DC"/>
    <w:rsid w:val="008315CE"/>
    <w:rsid w:val="00832234"/>
    <w:rsid w:val="0083321C"/>
    <w:rsid w:val="0083476B"/>
    <w:rsid w:val="00834A2E"/>
    <w:rsid w:val="00834A8A"/>
    <w:rsid w:val="00836015"/>
    <w:rsid w:val="00836B2A"/>
    <w:rsid w:val="00836EC1"/>
    <w:rsid w:val="0083738D"/>
    <w:rsid w:val="00837861"/>
    <w:rsid w:val="008401E1"/>
    <w:rsid w:val="00840612"/>
    <w:rsid w:val="0084061B"/>
    <w:rsid w:val="008415AC"/>
    <w:rsid w:val="00841962"/>
    <w:rsid w:val="00841D26"/>
    <w:rsid w:val="0084230B"/>
    <w:rsid w:val="00845910"/>
    <w:rsid w:val="00845CE7"/>
    <w:rsid w:val="00846EFB"/>
    <w:rsid w:val="00850BF7"/>
    <w:rsid w:val="008522C6"/>
    <w:rsid w:val="00854913"/>
    <w:rsid w:val="00855161"/>
    <w:rsid w:val="00855A63"/>
    <w:rsid w:val="00855B84"/>
    <w:rsid w:val="008566FB"/>
    <w:rsid w:val="00856BD2"/>
    <w:rsid w:val="00856CCF"/>
    <w:rsid w:val="00860566"/>
    <w:rsid w:val="0086059E"/>
    <w:rsid w:val="00860903"/>
    <w:rsid w:val="00860E7F"/>
    <w:rsid w:val="00861252"/>
    <w:rsid w:val="00861610"/>
    <w:rsid w:val="00861631"/>
    <w:rsid w:val="00861D0E"/>
    <w:rsid w:val="008625A3"/>
    <w:rsid w:val="00862E42"/>
    <w:rsid w:val="0086416D"/>
    <w:rsid w:val="00865835"/>
    <w:rsid w:val="008744BC"/>
    <w:rsid w:val="0087548B"/>
    <w:rsid w:val="0087561F"/>
    <w:rsid w:val="008759C3"/>
    <w:rsid w:val="00876413"/>
    <w:rsid w:val="00880AE0"/>
    <w:rsid w:val="0088128E"/>
    <w:rsid w:val="00881311"/>
    <w:rsid w:val="00881479"/>
    <w:rsid w:val="00882755"/>
    <w:rsid w:val="00882C89"/>
    <w:rsid w:val="00883004"/>
    <w:rsid w:val="008832CF"/>
    <w:rsid w:val="0088434B"/>
    <w:rsid w:val="00885EA9"/>
    <w:rsid w:val="00887CA1"/>
    <w:rsid w:val="0089015B"/>
    <w:rsid w:val="008905C3"/>
    <w:rsid w:val="00893298"/>
    <w:rsid w:val="00896501"/>
    <w:rsid w:val="008A00CD"/>
    <w:rsid w:val="008A11E5"/>
    <w:rsid w:val="008A1448"/>
    <w:rsid w:val="008A19D7"/>
    <w:rsid w:val="008A3AF0"/>
    <w:rsid w:val="008A6037"/>
    <w:rsid w:val="008A6C48"/>
    <w:rsid w:val="008A740D"/>
    <w:rsid w:val="008A7560"/>
    <w:rsid w:val="008B1B62"/>
    <w:rsid w:val="008B26BD"/>
    <w:rsid w:val="008B31FC"/>
    <w:rsid w:val="008B3941"/>
    <w:rsid w:val="008B4575"/>
    <w:rsid w:val="008B48DB"/>
    <w:rsid w:val="008B5112"/>
    <w:rsid w:val="008B51F9"/>
    <w:rsid w:val="008B73FB"/>
    <w:rsid w:val="008B76C2"/>
    <w:rsid w:val="008C096C"/>
    <w:rsid w:val="008C3403"/>
    <w:rsid w:val="008C496D"/>
    <w:rsid w:val="008C5384"/>
    <w:rsid w:val="008C6229"/>
    <w:rsid w:val="008C63F5"/>
    <w:rsid w:val="008C67C6"/>
    <w:rsid w:val="008C7EE0"/>
    <w:rsid w:val="008C7F84"/>
    <w:rsid w:val="008D0F97"/>
    <w:rsid w:val="008D188E"/>
    <w:rsid w:val="008D2305"/>
    <w:rsid w:val="008D3AF8"/>
    <w:rsid w:val="008D4E47"/>
    <w:rsid w:val="008D58FD"/>
    <w:rsid w:val="008D5F29"/>
    <w:rsid w:val="008D7149"/>
    <w:rsid w:val="008E215A"/>
    <w:rsid w:val="008E2554"/>
    <w:rsid w:val="008E46A3"/>
    <w:rsid w:val="008E58B5"/>
    <w:rsid w:val="008E6F1C"/>
    <w:rsid w:val="008E7A49"/>
    <w:rsid w:val="008F0D72"/>
    <w:rsid w:val="008F16A0"/>
    <w:rsid w:val="008F2116"/>
    <w:rsid w:val="008F377A"/>
    <w:rsid w:val="008F44F1"/>
    <w:rsid w:val="008F4C2B"/>
    <w:rsid w:val="009011D7"/>
    <w:rsid w:val="0090160B"/>
    <w:rsid w:val="00901CDA"/>
    <w:rsid w:val="009021C4"/>
    <w:rsid w:val="0090286A"/>
    <w:rsid w:val="0090296E"/>
    <w:rsid w:val="00903520"/>
    <w:rsid w:val="00905AA4"/>
    <w:rsid w:val="00910286"/>
    <w:rsid w:val="0091082A"/>
    <w:rsid w:val="009115AA"/>
    <w:rsid w:val="0091273D"/>
    <w:rsid w:val="00913864"/>
    <w:rsid w:val="00913921"/>
    <w:rsid w:val="00915005"/>
    <w:rsid w:val="009161B8"/>
    <w:rsid w:val="009168D0"/>
    <w:rsid w:val="009177A0"/>
    <w:rsid w:val="0092121A"/>
    <w:rsid w:val="00921929"/>
    <w:rsid w:val="00921BA6"/>
    <w:rsid w:val="00922184"/>
    <w:rsid w:val="009222A6"/>
    <w:rsid w:val="009229CB"/>
    <w:rsid w:val="00922EC4"/>
    <w:rsid w:val="009238A1"/>
    <w:rsid w:val="00924548"/>
    <w:rsid w:val="0092536E"/>
    <w:rsid w:val="009261B1"/>
    <w:rsid w:val="00927000"/>
    <w:rsid w:val="00927D34"/>
    <w:rsid w:val="009319EF"/>
    <w:rsid w:val="00932340"/>
    <w:rsid w:val="009323CF"/>
    <w:rsid w:val="00932A24"/>
    <w:rsid w:val="00933873"/>
    <w:rsid w:val="00933E1C"/>
    <w:rsid w:val="009349E3"/>
    <w:rsid w:val="00935870"/>
    <w:rsid w:val="009405D3"/>
    <w:rsid w:val="009411C9"/>
    <w:rsid w:val="0094261B"/>
    <w:rsid w:val="009453FA"/>
    <w:rsid w:val="00945D15"/>
    <w:rsid w:val="00947878"/>
    <w:rsid w:val="00947D06"/>
    <w:rsid w:val="0095132B"/>
    <w:rsid w:val="00952C3E"/>
    <w:rsid w:val="009534AE"/>
    <w:rsid w:val="009536D9"/>
    <w:rsid w:val="00953C16"/>
    <w:rsid w:val="00953C87"/>
    <w:rsid w:val="009542C1"/>
    <w:rsid w:val="009557B6"/>
    <w:rsid w:val="009568F6"/>
    <w:rsid w:val="00962924"/>
    <w:rsid w:val="00965557"/>
    <w:rsid w:val="00965A43"/>
    <w:rsid w:val="0096659A"/>
    <w:rsid w:val="00967178"/>
    <w:rsid w:val="00971E96"/>
    <w:rsid w:val="00972A26"/>
    <w:rsid w:val="00973912"/>
    <w:rsid w:val="00973B68"/>
    <w:rsid w:val="00974BB4"/>
    <w:rsid w:val="00975C06"/>
    <w:rsid w:val="00977F47"/>
    <w:rsid w:val="00980162"/>
    <w:rsid w:val="00980DA6"/>
    <w:rsid w:val="0098125B"/>
    <w:rsid w:val="009817FD"/>
    <w:rsid w:val="009839A2"/>
    <w:rsid w:val="009850AE"/>
    <w:rsid w:val="009853A4"/>
    <w:rsid w:val="009853EB"/>
    <w:rsid w:val="00985D34"/>
    <w:rsid w:val="00987656"/>
    <w:rsid w:val="00991EA6"/>
    <w:rsid w:val="0099241C"/>
    <w:rsid w:val="0099267E"/>
    <w:rsid w:val="009929FF"/>
    <w:rsid w:val="00992F62"/>
    <w:rsid w:val="009942D8"/>
    <w:rsid w:val="00995640"/>
    <w:rsid w:val="00997E6F"/>
    <w:rsid w:val="00997F90"/>
    <w:rsid w:val="009A1F8C"/>
    <w:rsid w:val="009A2FC3"/>
    <w:rsid w:val="009A323B"/>
    <w:rsid w:val="009A380C"/>
    <w:rsid w:val="009A390B"/>
    <w:rsid w:val="009A3E49"/>
    <w:rsid w:val="009A5BFA"/>
    <w:rsid w:val="009A794B"/>
    <w:rsid w:val="009A7F53"/>
    <w:rsid w:val="009B096A"/>
    <w:rsid w:val="009B0F2A"/>
    <w:rsid w:val="009B1488"/>
    <w:rsid w:val="009B3005"/>
    <w:rsid w:val="009B3323"/>
    <w:rsid w:val="009B523B"/>
    <w:rsid w:val="009B6C48"/>
    <w:rsid w:val="009B6F36"/>
    <w:rsid w:val="009B7E67"/>
    <w:rsid w:val="009C05D5"/>
    <w:rsid w:val="009C06DD"/>
    <w:rsid w:val="009C15C8"/>
    <w:rsid w:val="009C24CE"/>
    <w:rsid w:val="009C3029"/>
    <w:rsid w:val="009C5A79"/>
    <w:rsid w:val="009C6458"/>
    <w:rsid w:val="009C74F0"/>
    <w:rsid w:val="009D1554"/>
    <w:rsid w:val="009D2A59"/>
    <w:rsid w:val="009D364E"/>
    <w:rsid w:val="009D4A6E"/>
    <w:rsid w:val="009D4EA4"/>
    <w:rsid w:val="009D4F6C"/>
    <w:rsid w:val="009D5285"/>
    <w:rsid w:val="009D7F38"/>
    <w:rsid w:val="009E02E8"/>
    <w:rsid w:val="009E0570"/>
    <w:rsid w:val="009E08AC"/>
    <w:rsid w:val="009E430D"/>
    <w:rsid w:val="009E5070"/>
    <w:rsid w:val="009E54E6"/>
    <w:rsid w:val="009E5BCC"/>
    <w:rsid w:val="009E6855"/>
    <w:rsid w:val="009E7156"/>
    <w:rsid w:val="009F0683"/>
    <w:rsid w:val="009F0FDF"/>
    <w:rsid w:val="009F13E5"/>
    <w:rsid w:val="009F1C77"/>
    <w:rsid w:val="009F2971"/>
    <w:rsid w:val="009F35A6"/>
    <w:rsid w:val="00A02E4C"/>
    <w:rsid w:val="00A02EBB"/>
    <w:rsid w:val="00A03643"/>
    <w:rsid w:val="00A0666D"/>
    <w:rsid w:val="00A06BBB"/>
    <w:rsid w:val="00A07D68"/>
    <w:rsid w:val="00A10EA6"/>
    <w:rsid w:val="00A11CAC"/>
    <w:rsid w:val="00A12710"/>
    <w:rsid w:val="00A12C8F"/>
    <w:rsid w:val="00A12ECA"/>
    <w:rsid w:val="00A14BBD"/>
    <w:rsid w:val="00A20324"/>
    <w:rsid w:val="00A20605"/>
    <w:rsid w:val="00A20645"/>
    <w:rsid w:val="00A21FBB"/>
    <w:rsid w:val="00A234AD"/>
    <w:rsid w:val="00A25225"/>
    <w:rsid w:val="00A256DB"/>
    <w:rsid w:val="00A27D3F"/>
    <w:rsid w:val="00A32506"/>
    <w:rsid w:val="00A32730"/>
    <w:rsid w:val="00A353CB"/>
    <w:rsid w:val="00A37C83"/>
    <w:rsid w:val="00A41007"/>
    <w:rsid w:val="00A415A3"/>
    <w:rsid w:val="00A43095"/>
    <w:rsid w:val="00A44FC2"/>
    <w:rsid w:val="00A47F31"/>
    <w:rsid w:val="00A50AA3"/>
    <w:rsid w:val="00A51406"/>
    <w:rsid w:val="00A514BD"/>
    <w:rsid w:val="00A51B2E"/>
    <w:rsid w:val="00A53BF2"/>
    <w:rsid w:val="00A54A6E"/>
    <w:rsid w:val="00A54D29"/>
    <w:rsid w:val="00A55E18"/>
    <w:rsid w:val="00A56796"/>
    <w:rsid w:val="00A56B27"/>
    <w:rsid w:val="00A57010"/>
    <w:rsid w:val="00A571BF"/>
    <w:rsid w:val="00A60AF8"/>
    <w:rsid w:val="00A61B20"/>
    <w:rsid w:val="00A61F6F"/>
    <w:rsid w:val="00A64DCD"/>
    <w:rsid w:val="00A668F3"/>
    <w:rsid w:val="00A718A0"/>
    <w:rsid w:val="00A72FFA"/>
    <w:rsid w:val="00A73865"/>
    <w:rsid w:val="00A73A19"/>
    <w:rsid w:val="00A7492A"/>
    <w:rsid w:val="00A75D04"/>
    <w:rsid w:val="00A76F03"/>
    <w:rsid w:val="00A778CA"/>
    <w:rsid w:val="00A804F9"/>
    <w:rsid w:val="00A80D2A"/>
    <w:rsid w:val="00A81DD9"/>
    <w:rsid w:val="00A82CE9"/>
    <w:rsid w:val="00A84547"/>
    <w:rsid w:val="00A866FF"/>
    <w:rsid w:val="00A8699A"/>
    <w:rsid w:val="00A90F07"/>
    <w:rsid w:val="00A95B9F"/>
    <w:rsid w:val="00A9650F"/>
    <w:rsid w:val="00A96BB6"/>
    <w:rsid w:val="00AA025D"/>
    <w:rsid w:val="00AA09DC"/>
    <w:rsid w:val="00AA1041"/>
    <w:rsid w:val="00AA38F9"/>
    <w:rsid w:val="00AA4427"/>
    <w:rsid w:val="00AA48DA"/>
    <w:rsid w:val="00AA4ABD"/>
    <w:rsid w:val="00AA5EB8"/>
    <w:rsid w:val="00AA6E3C"/>
    <w:rsid w:val="00AA7316"/>
    <w:rsid w:val="00AB039A"/>
    <w:rsid w:val="00AB0EA9"/>
    <w:rsid w:val="00AB3A59"/>
    <w:rsid w:val="00AB4A1A"/>
    <w:rsid w:val="00AB587B"/>
    <w:rsid w:val="00AB5D54"/>
    <w:rsid w:val="00AB6CFB"/>
    <w:rsid w:val="00AB7F44"/>
    <w:rsid w:val="00AC0090"/>
    <w:rsid w:val="00AC0F62"/>
    <w:rsid w:val="00AC10D2"/>
    <w:rsid w:val="00AC1637"/>
    <w:rsid w:val="00AC34CD"/>
    <w:rsid w:val="00AC36CD"/>
    <w:rsid w:val="00AC3749"/>
    <w:rsid w:val="00AC4954"/>
    <w:rsid w:val="00AC5B9F"/>
    <w:rsid w:val="00AC66B7"/>
    <w:rsid w:val="00AC6C25"/>
    <w:rsid w:val="00AC754B"/>
    <w:rsid w:val="00AD0BD7"/>
    <w:rsid w:val="00AD16EA"/>
    <w:rsid w:val="00AD225B"/>
    <w:rsid w:val="00AD2C93"/>
    <w:rsid w:val="00AD331C"/>
    <w:rsid w:val="00AD33A1"/>
    <w:rsid w:val="00AD382E"/>
    <w:rsid w:val="00AD4B72"/>
    <w:rsid w:val="00AD56AF"/>
    <w:rsid w:val="00AD686E"/>
    <w:rsid w:val="00AE2DE2"/>
    <w:rsid w:val="00AE3CAC"/>
    <w:rsid w:val="00AE4A0C"/>
    <w:rsid w:val="00AE5C5C"/>
    <w:rsid w:val="00AE6E07"/>
    <w:rsid w:val="00AF14BE"/>
    <w:rsid w:val="00AF2EDB"/>
    <w:rsid w:val="00AF4B70"/>
    <w:rsid w:val="00AF6EBC"/>
    <w:rsid w:val="00B00355"/>
    <w:rsid w:val="00B00E7A"/>
    <w:rsid w:val="00B01EC4"/>
    <w:rsid w:val="00B03CCB"/>
    <w:rsid w:val="00B05E94"/>
    <w:rsid w:val="00B07682"/>
    <w:rsid w:val="00B10BDA"/>
    <w:rsid w:val="00B12643"/>
    <w:rsid w:val="00B1267B"/>
    <w:rsid w:val="00B15335"/>
    <w:rsid w:val="00B154A9"/>
    <w:rsid w:val="00B159B4"/>
    <w:rsid w:val="00B15F4F"/>
    <w:rsid w:val="00B16874"/>
    <w:rsid w:val="00B17002"/>
    <w:rsid w:val="00B1766C"/>
    <w:rsid w:val="00B17B04"/>
    <w:rsid w:val="00B21717"/>
    <w:rsid w:val="00B22993"/>
    <w:rsid w:val="00B22AA3"/>
    <w:rsid w:val="00B22F66"/>
    <w:rsid w:val="00B24561"/>
    <w:rsid w:val="00B24ED5"/>
    <w:rsid w:val="00B31850"/>
    <w:rsid w:val="00B32267"/>
    <w:rsid w:val="00B323C5"/>
    <w:rsid w:val="00B32B42"/>
    <w:rsid w:val="00B32F0A"/>
    <w:rsid w:val="00B34BA9"/>
    <w:rsid w:val="00B35BE3"/>
    <w:rsid w:val="00B36752"/>
    <w:rsid w:val="00B367C6"/>
    <w:rsid w:val="00B36FCE"/>
    <w:rsid w:val="00B37A2A"/>
    <w:rsid w:val="00B37BBB"/>
    <w:rsid w:val="00B4016A"/>
    <w:rsid w:val="00B4185A"/>
    <w:rsid w:val="00B42B62"/>
    <w:rsid w:val="00B42D98"/>
    <w:rsid w:val="00B4362C"/>
    <w:rsid w:val="00B44BC6"/>
    <w:rsid w:val="00B45238"/>
    <w:rsid w:val="00B45FA4"/>
    <w:rsid w:val="00B4677E"/>
    <w:rsid w:val="00B47D3E"/>
    <w:rsid w:val="00B47F65"/>
    <w:rsid w:val="00B5092E"/>
    <w:rsid w:val="00B51EEB"/>
    <w:rsid w:val="00B52B2D"/>
    <w:rsid w:val="00B54988"/>
    <w:rsid w:val="00B54C2C"/>
    <w:rsid w:val="00B54C84"/>
    <w:rsid w:val="00B55BF6"/>
    <w:rsid w:val="00B57937"/>
    <w:rsid w:val="00B611BD"/>
    <w:rsid w:val="00B614C5"/>
    <w:rsid w:val="00B61503"/>
    <w:rsid w:val="00B61B64"/>
    <w:rsid w:val="00B6323F"/>
    <w:rsid w:val="00B637CF"/>
    <w:rsid w:val="00B64E8D"/>
    <w:rsid w:val="00B64F7C"/>
    <w:rsid w:val="00B66E6D"/>
    <w:rsid w:val="00B7120B"/>
    <w:rsid w:val="00B715A4"/>
    <w:rsid w:val="00B743EE"/>
    <w:rsid w:val="00B751C8"/>
    <w:rsid w:val="00B76ECF"/>
    <w:rsid w:val="00B80139"/>
    <w:rsid w:val="00B809B2"/>
    <w:rsid w:val="00B81D93"/>
    <w:rsid w:val="00B829E3"/>
    <w:rsid w:val="00B82A87"/>
    <w:rsid w:val="00B8363C"/>
    <w:rsid w:val="00B83B35"/>
    <w:rsid w:val="00B84251"/>
    <w:rsid w:val="00B85386"/>
    <w:rsid w:val="00B864FC"/>
    <w:rsid w:val="00B87D4A"/>
    <w:rsid w:val="00B9104C"/>
    <w:rsid w:val="00B917DD"/>
    <w:rsid w:val="00B920BF"/>
    <w:rsid w:val="00B93758"/>
    <w:rsid w:val="00B94441"/>
    <w:rsid w:val="00B947DC"/>
    <w:rsid w:val="00B94C3A"/>
    <w:rsid w:val="00B94C8B"/>
    <w:rsid w:val="00B9542A"/>
    <w:rsid w:val="00B967BD"/>
    <w:rsid w:val="00B96D83"/>
    <w:rsid w:val="00BA0291"/>
    <w:rsid w:val="00BA0EAA"/>
    <w:rsid w:val="00BA1C27"/>
    <w:rsid w:val="00BA2A04"/>
    <w:rsid w:val="00BA482C"/>
    <w:rsid w:val="00BA5273"/>
    <w:rsid w:val="00BA5B3D"/>
    <w:rsid w:val="00BA77A7"/>
    <w:rsid w:val="00BA7DF8"/>
    <w:rsid w:val="00BB096A"/>
    <w:rsid w:val="00BB2789"/>
    <w:rsid w:val="00BB4A58"/>
    <w:rsid w:val="00BB75DF"/>
    <w:rsid w:val="00BB7C97"/>
    <w:rsid w:val="00BC1CC5"/>
    <w:rsid w:val="00BC340D"/>
    <w:rsid w:val="00BC3C13"/>
    <w:rsid w:val="00BC3C25"/>
    <w:rsid w:val="00BC3D34"/>
    <w:rsid w:val="00BC45D2"/>
    <w:rsid w:val="00BC6BCD"/>
    <w:rsid w:val="00BD0DAE"/>
    <w:rsid w:val="00BD0FAE"/>
    <w:rsid w:val="00BD1118"/>
    <w:rsid w:val="00BD13F4"/>
    <w:rsid w:val="00BD2076"/>
    <w:rsid w:val="00BD2AB9"/>
    <w:rsid w:val="00BD2CAC"/>
    <w:rsid w:val="00BD39FF"/>
    <w:rsid w:val="00BD5271"/>
    <w:rsid w:val="00BD5E88"/>
    <w:rsid w:val="00BD71E6"/>
    <w:rsid w:val="00BE03E8"/>
    <w:rsid w:val="00BE2592"/>
    <w:rsid w:val="00BE3FC5"/>
    <w:rsid w:val="00BE40B9"/>
    <w:rsid w:val="00BE5A2B"/>
    <w:rsid w:val="00BF027F"/>
    <w:rsid w:val="00BF1411"/>
    <w:rsid w:val="00BF2E0C"/>
    <w:rsid w:val="00BF3550"/>
    <w:rsid w:val="00BF44E1"/>
    <w:rsid w:val="00BF4640"/>
    <w:rsid w:val="00C04A3F"/>
    <w:rsid w:val="00C04C47"/>
    <w:rsid w:val="00C06573"/>
    <w:rsid w:val="00C077A7"/>
    <w:rsid w:val="00C105D2"/>
    <w:rsid w:val="00C10941"/>
    <w:rsid w:val="00C10A9E"/>
    <w:rsid w:val="00C11A64"/>
    <w:rsid w:val="00C122F6"/>
    <w:rsid w:val="00C12978"/>
    <w:rsid w:val="00C12AC3"/>
    <w:rsid w:val="00C12E64"/>
    <w:rsid w:val="00C138B6"/>
    <w:rsid w:val="00C13CEB"/>
    <w:rsid w:val="00C145F4"/>
    <w:rsid w:val="00C14920"/>
    <w:rsid w:val="00C14F1F"/>
    <w:rsid w:val="00C14F5F"/>
    <w:rsid w:val="00C15149"/>
    <w:rsid w:val="00C16064"/>
    <w:rsid w:val="00C16956"/>
    <w:rsid w:val="00C226B3"/>
    <w:rsid w:val="00C240E2"/>
    <w:rsid w:val="00C24A68"/>
    <w:rsid w:val="00C24ACF"/>
    <w:rsid w:val="00C24D46"/>
    <w:rsid w:val="00C24F0D"/>
    <w:rsid w:val="00C25A1C"/>
    <w:rsid w:val="00C260F2"/>
    <w:rsid w:val="00C26BDA"/>
    <w:rsid w:val="00C27540"/>
    <w:rsid w:val="00C2774C"/>
    <w:rsid w:val="00C309D6"/>
    <w:rsid w:val="00C31A33"/>
    <w:rsid w:val="00C31E65"/>
    <w:rsid w:val="00C31F0A"/>
    <w:rsid w:val="00C34D82"/>
    <w:rsid w:val="00C36AA3"/>
    <w:rsid w:val="00C371B0"/>
    <w:rsid w:val="00C3730C"/>
    <w:rsid w:val="00C40671"/>
    <w:rsid w:val="00C421FA"/>
    <w:rsid w:val="00C42EEF"/>
    <w:rsid w:val="00C50384"/>
    <w:rsid w:val="00C52238"/>
    <w:rsid w:val="00C53198"/>
    <w:rsid w:val="00C53C81"/>
    <w:rsid w:val="00C53FC9"/>
    <w:rsid w:val="00C54EC7"/>
    <w:rsid w:val="00C55383"/>
    <w:rsid w:val="00C57129"/>
    <w:rsid w:val="00C5775F"/>
    <w:rsid w:val="00C6097B"/>
    <w:rsid w:val="00C6152A"/>
    <w:rsid w:val="00C61F42"/>
    <w:rsid w:val="00C62DB7"/>
    <w:rsid w:val="00C659DB"/>
    <w:rsid w:val="00C67ED8"/>
    <w:rsid w:val="00C724A1"/>
    <w:rsid w:val="00C72EA8"/>
    <w:rsid w:val="00C75832"/>
    <w:rsid w:val="00C767AD"/>
    <w:rsid w:val="00C76D94"/>
    <w:rsid w:val="00C8027D"/>
    <w:rsid w:val="00C815DC"/>
    <w:rsid w:val="00C81BC5"/>
    <w:rsid w:val="00C81E88"/>
    <w:rsid w:val="00C821B6"/>
    <w:rsid w:val="00C823A9"/>
    <w:rsid w:val="00C828AC"/>
    <w:rsid w:val="00C84EEE"/>
    <w:rsid w:val="00C84FCA"/>
    <w:rsid w:val="00C85246"/>
    <w:rsid w:val="00C91654"/>
    <w:rsid w:val="00C92E4F"/>
    <w:rsid w:val="00C94568"/>
    <w:rsid w:val="00C94C3B"/>
    <w:rsid w:val="00C96143"/>
    <w:rsid w:val="00C97201"/>
    <w:rsid w:val="00CA223B"/>
    <w:rsid w:val="00CA27DF"/>
    <w:rsid w:val="00CA2E07"/>
    <w:rsid w:val="00CA3DA3"/>
    <w:rsid w:val="00CA443D"/>
    <w:rsid w:val="00CA56A2"/>
    <w:rsid w:val="00CA605B"/>
    <w:rsid w:val="00CA639A"/>
    <w:rsid w:val="00CA6575"/>
    <w:rsid w:val="00CA666F"/>
    <w:rsid w:val="00CB02D7"/>
    <w:rsid w:val="00CB358C"/>
    <w:rsid w:val="00CC00E6"/>
    <w:rsid w:val="00CC03E0"/>
    <w:rsid w:val="00CC245D"/>
    <w:rsid w:val="00CC3CDA"/>
    <w:rsid w:val="00CC4407"/>
    <w:rsid w:val="00CC4D95"/>
    <w:rsid w:val="00CC51A6"/>
    <w:rsid w:val="00CC59D2"/>
    <w:rsid w:val="00CC5E3F"/>
    <w:rsid w:val="00CD0DF7"/>
    <w:rsid w:val="00CD0E5E"/>
    <w:rsid w:val="00CD1AA2"/>
    <w:rsid w:val="00CD3013"/>
    <w:rsid w:val="00CD3539"/>
    <w:rsid w:val="00CD42BA"/>
    <w:rsid w:val="00CD57A6"/>
    <w:rsid w:val="00CD68DA"/>
    <w:rsid w:val="00CE06BE"/>
    <w:rsid w:val="00CE0A4E"/>
    <w:rsid w:val="00CE3148"/>
    <w:rsid w:val="00CE3C07"/>
    <w:rsid w:val="00CE44CF"/>
    <w:rsid w:val="00CE53C0"/>
    <w:rsid w:val="00CE575B"/>
    <w:rsid w:val="00CE6FDF"/>
    <w:rsid w:val="00CE741A"/>
    <w:rsid w:val="00CE7B0E"/>
    <w:rsid w:val="00CF0A3C"/>
    <w:rsid w:val="00CF1DDF"/>
    <w:rsid w:val="00CF2736"/>
    <w:rsid w:val="00CF2FB1"/>
    <w:rsid w:val="00CF3E56"/>
    <w:rsid w:val="00CF4AB2"/>
    <w:rsid w:val="00D00CB5"/>
    <w:rsid w:val="00D02B0E"/>
    <w:rsid w:val="00D02BC6"/>
    <w:rsid w:val="00D03CA4"/>
    <w:rsid w:val="00D046EF"/>
    <w:rsid w:val="00D04D31"/>
    <w:rsid w:val="00D04D61"/>
    <w:rsid w:val="00D055A1"/>
    <w:rsid w:val="00D059E6"/>
    <w:rsid w:val="00D114C0"/>
    <w:rsid w:val="00D12F94"/>
    <w:rsid w:val="00D14595"/>
    <w:rsid w:val="00D15A93"/>
    <w:rsid w:val="00D17224"/>
    <w:rsid w:val="00D17A96"/>
    <w:rsid w:val="00D17D54"/>
    <w:rsid w:val="00D20713"/>
    <w:rsid w:val="00D20727"/>
    <w:rsid w:val="00D20C11"/>
    <w:rsid w:val="00D2209B"/>
    <w:rsid w:val="00D223D8"/>
    <w:rsid w:val="00D23885"/>
    <w:rsid w:val="00D23D7D"/>
    <w:rsid w:val="00D24E4A"/>
    <w:rsid w:val="00D25CC1"/>
    <w:rsid w:val="00D25F3C"/>
    <w:rsid w:val="00D261C0"/>
    <w:rsid w:val="00D26A1B"/>
    <w:rsid w:val="00D27C64"/>
    <w:rsid w:val="00D30068"/>
    <w:rsid w:val="00D3098F"/>
    <w:rsid w:val="00D30CFA"/>
    <w:rsid w:val="00D3307D"/>
    <w:rsid w:val="00D3360D"/>
    <w:rsid w:val="00D3421F"/>
    <w:rsid w:val="00D35A1A"/>
    <w:rsid w:val="00D35F27"/>
    <w:rsid w:val="00D35FA2"/>
    <w:rsid w:val="00D37655"/>
    <w:rsid w:val="00D412D6"/>
    <w:rsid w:val="00D43EAB"/>
    <w:rsid w:val="00D44DD4"/>
    <w:rsid w:val="00D451E6"/>
    <w:rsid w:val="00D45F68"/>
    <w:rsid w:val="00D478BB"/>
    <w:rsid w:val="00D507CE"/>
    <w:rsid w:val="00D51B4D"/>
    <w:rsid w:val="00D51F24"/>
    <w:rsid w:val="00D52CD5"/>
    <w:rsid w:val="00D538E1"/>
    <w:rsid w:val="00D544E3"/>
    <w:rsid w:val="00D55804"/>
    <w:rsid w:val="00D5580F"/>
    <w:rsid w:val="00D55B71"/>
    <w:rsid w:val="00D56539"/>
    <w:rsid w:val="00D57236"/>
    <w:rsid w:val="00D57719"/>
    <w:rsid w:val="00D5799D"/>
    <w:rsid w:val="00D57F97"/>
    <w:rsid w:val="00D60DAA"/>
    <w:rsid w:val="00D63ED7"/>
    <w:rsid w:val="00D65B6F"/>
    <w:rsid w:val="00D662BC"/>
    <w:rsid w:val="00D66AB8"/>
    <w:rsid w:val="00D70DD0"/>
    <w:rsid w:val="00D70E67"/>
    <w:rsid w:val="00D717F8"/>
    <w:rsid w:val="00D72238"/>
    <w:rsid w:val="00D72DAE"/>
    <w:rsid w:val="00D7480C"/>
    <w:rsid w:val="00D76263"/>
    <w:rsid w:val="00D8041B"/>
    <w:rsid w:val="00D81F0A"/>
    <w:rsid w:val="00D82CED"/>
    <w:rsid w:val="00D839AF"/>
    <w:rsid w:val="00D862B3"/>
    <w:rsid w:val="00D8667E"/>
    <w:rsid w:val="00D906E7"/>
    <w:rsid w:val="00D90D81"/>
    <w:rsid w:val="00D90ED7"/>
    <w:rsid w:val="00D91491"/>
    <w:rsid w:val="00D93942"/>
    <w:rsid w:val="00D93B3D"/>
    <w:rsid w:val="00D954CB"/>
    <w:rsid w:val="00D95F36"/>
    <w:rsid w:val="00D9625A"/>
    <w:rsid w:val="00DA22F4"/>
    <w:rsid w:val="00DA48D2"/>
    <w:rsid w:val="00DA512A"/>
    <w:rsid w:val="00DA5418"/>
    <w:rsid w:val="00DA5A12"/>
    <w:rsid w:val="00DA6F56"/>
    <w:rsid w:val="00DB08FA"/>
    <w:rsid w:val="00DB175D"/>
    <w:rsid w:val="00DB1AE4"/>
    <w:rsid w:val="00DB1ED4"/>
    <w:rsid w:val="00DB215F"/>
    <w:rsid w:val="00DB26E8"/>
    <w:rsid w:val="00DB2D3E"/>
    <w:rsid w:val="00DB2F88"/>
    <w:rsid w:val="00DB523B"/>
    <w:rsid w:val="00DB595A"/>
    <w:rsid w:val="00DB60F5"/>
    <w:rsid w:val="00DB6C17"/>
    <w:rsid w:val="00DC16B5"/>
    <w:rsid w:val="00DC24C1"/>
    <w:rsid w:val="00DC24C3"/>
    <w:rsid w:val="00DC266E"/>
    <w:rsid w:val="00DC306E"/>
    <w:rsid w:val="00DC3265"/>
    <w:rsid w:val="00DC5006"/>
    <w:rsid w:val="00DC5FE6"/>
    <w:rsid w:val="00DC641C"/>
    <w:rsid w:val="00DD0747"/>
    <w:rsid w:val="00DD1626"/>
    <w:rsid w:val="00DD244C"/>
    <w:rsid w:val="00DD2A31"/>
    <w:rsid w:val="00DD3164"/>
    <w:rsid w:val="00DD37FE"/>
    <w:rsid w:val="00DD4076"/>
    <w:rsid w:val="00DD497B"/>
    <w:rsid w:val="00DD7071"/>
    <w:rsid w:val="00DE1883"/>
    <w:rsid w:val="00DE2B33"/>
    <w:rsid w:val="00DE2D7C"/>
    <w:rsid w:val="00DE397A"/>
    <w:rsid w:val="00DE4654"/>
    <w:rsid w:val="00DE517B"/>
    <w:rsid w:val="00DE532F"/>
    <w:rsid w:val="00DE58C7"/>
    <w:rsid w:val="00DE5B71"/>
    <w:rsid w:val="00DE6C2D"/>
    <w:rsid w:val="00DE6ED8"/>
    <w:rsid w:val="00DF2888"/>
    <w:rsid w:val="00DF2EFF"/>
    <w:rsid w:val="00DF5B4A"/>
    <w:rsid w:val="00DF640F"/>
    <w:rsid w:val="00DF70E0"/>
    <w:rsid w:val="00DF7477"/>
    <w:rsid w:val="00DF7A1E"/>
    <w:rsid w:val="00E0038F"/>
    <w:rsid w:val="00E023A4"/>
    <w:rsid w:val="00E02876"/>
    <w:rsid w:val="00E03FD5"/>
    <w:rsid w:val="00E053EF"/>
    <w:rsid w:val="00E05A12"/>
    <w:rsid w:val="00E05C3E"/>
    <w:rsid w:val="00E06726"/>
    <w:rsid w:val="00E06E67"/>
    <w:rsid w:val="00E07C9B"/>
    <w:rsid w:val="00E1007D"/>
    <w:rsid w:val="00E10453"/>
    <w:rsid w:val="00E125FF"/>
    <w:rsid w:val="00E127CF"/>
    <w:rsid w:val="00E13139"/>
    <w:rsid w:val="00E1335B"/>
    <w:rsid w:val="00E14472"/>
    <w:rsid w:val="00E15C80"/>
    <w:rsid w:val="00E16D96"/>
    <w:rsid w:val="00E172F9"/>
    <w:rsid w:val="00E1767D"/>
    <w:rsid w:val="00E17899"/>
    <w:rsid w:val="00E2215A"/>
    <w:rsid w:val="00E2300A"/>
    <w:rsid w:val="00E23268"/>
    <w:rsid w:val="00E23568"/>
    <w:rsid w:val="00E23A49"/>
    <w:rsid w:val="00E24C55"/>
    <w:rsid w:val="00E24E68"/>
    <w:rsid w:val="00E24F34"/>
    <w:rsid w:val="00E2564F"/>
    <w:rsid w:val="00E25C93"/>
    <w:rsid w:val="00E2648C"/>
    <w:rsid w:val="00E3110A"/>
    <w:rsid w:val="00E344D5"/>
    <w:rsid w:val="00E35896"/>
    <w:rsid w:val="00E37477"/>
    <w:rsid w:val="00E37A7A"/>
    <w:rsid w:val="00E37C8F"/>
    <w:rsid w:val="00E4010D"/>
    <w:rsid w:val="00E4103B"/>
    <w:rsid w:val="00E41058"/>
    <w:rsid w:val="00E424BD"/>
    <w:rsid w:val="00E43218"/>
    <w:rsid w:val="00E43C7A"/>
    <w:rsid w:val="00E45DFC"/>
    <w:rsid w:val="00E4750D"/>
    <w:rsid w:val="00E51D86"/>
    <w:rsid w:val="00E5202A"/>
    <w:rsid w:val="00E57279"/>
    <w:rsid w:val="00E57A64"/>
    <w:rsid w:val="00E57F3A"/>
    <w:rsid w:val="00E6029C"/>
    <w:rsid w:val="00E62C98"/>
    <w:rsid w:val="00E63D34"/>
    <w:rsid w:val="00E647B2"/>
    <w:rsid w:val="00E64852"/>
    <w:rsid w:val="00E6492A"/>
    <w:rsid w:val="00E65633"/>
    <w:rsid w:val="00E65CFF"/>
    <w:rsid w:val="00E667ED"/>
    <w:rsid w:val="00E6775D"/>
    <w:rsid w:val="00E7173D"/>
    <w:rsid w:val="00E71CB0"/>
    <w:rsid w:val="00E72375"/>
    <w:rsid w:val="00E7340C"/>
    <w:rsid w:val="00E74787"/>
    <w:rsid w:val="00E758A9"/>
    <w:rsid w:val="00E7718E"/>
    <w:rsid w:val="00E77195"/>
    <w:rsid w:val="00E77954"/>
    <w:rsid w:val="00E80181"/>
    <w:rsid w:val="00E80485"/>
    <w:rsid w:val="00E808CB"/>
    <w:rsid w:val="00E80949"/>
    <w:rsid w:val="00E81023"/>
    <w:rsid w:val="00E8128B"/>
    <w:rsid w:val="00E8185D"/>
    <w:rsid w:val="00E8404E"/>
    <w:rsid w:val="00E845AE"/>
    <w:rsid w:val="00E84BBF"/>
    <w:rsid w:val="00E859EC"/>
    <w:rsid w:val="00E85BC1"/>
    <w:rsid w:val="00E86E9E"/>
    <w:rsid w:val="00E87863"/>
    <w:rsid w:val="00E92AA7"/>
    <w:rsid w:val="00E9405B"/>
    <w:rsid w:val="00E948CF"/>
    <w:rsid w:val="00E9722D"/>
    <w:rsid w:val="00EA108B"/>
    <w:rsid w:val="00EA15CF"/>
    <w:rsid w:val="00EA2DB0"/>
    <w:rsid w:val="00EA3174"/>
    <w:rsid w:val="00EA6568"/>
    <w:rsid w:val="00EA79B2"/>
    <w:rsid w:val="00EA7E35"/>
    <w:rsid w:val="00EB0593"/>
    <w:rsid w:val="00EB1A20"/>
    <w:rsid w:val="00EB1A55"/>
    <w:rsid w:val="00EB2393"/>
    <w:rsid w:val="00EB337A"/>
    <w:rsid w:val="00EB3C14"/>
    <w:rsid w:val="00EB6CB7"/>
    <w:rsid w:val="00EB7324"/>
    <w:rsid w:val="00EC0096"/>
    <w:rsid w:val="00EC0DE0"/>
    <w:rsid w:val="00EC2113"/>
    <w:rsid w:val="00EC269D"/>
    <w:rsid w:val="00EC3F45"/>
    <w:rsid w:val="00EC4B4D"/>
    <w:rsid w:val="00EC5756"/>
    <w:rsid w:val="00EC5D87"/>
    <w:rsid w:val="00EC6F0F"/>
    <w:rsid w:val="00ED002C"/>
    <w:rsid w:val="00ED2569"/>
    <w:rsid w:val="00ED28F9"/>
    <w:rsid w:val="00ED3211"/>
    <w:rsid w:val="00ED583A"/>
    <w:rsid w:val="00ED6B62"/>
    <w:rsid w:val="00ED6BE1"/>
    <w:rsid w:val="00EE1510"/>
    <w:rsid w:val="00EE2A69"/>
    <w:rsid w:val="00EE623A"/>
    <w:rsid w:val="00EE6C7B"/>
    <w:rsid w:val="00EE77BC"/>
    <w:rsid w:val="00EE7F57"/>
    <w:rsid w:val="00EF062A"/>
    <w:rsid w:val="00EF0D7E"/>
    <w:rsid w:val="00EF26C0"/>
    <w:rsid w:val="00EF27C0"/>
    <w:rsid w:val="00EF285B"/>
    <w:rsid w:val="00EF330F"/>
    <w:rsid w:val="00EF6B4D"/>
    <w:rsid w:val="00EF700F"/>
    <w:rsid w:val="00F00C27"/>
    <w:rsid w:val="00F01F7A"/>
    <w:rsid w:val="00F0240C"/>
    <w:rsid w:val="00F026D9"/>
    <w:rsid w:val="00F030C7"/>
    <w:rsid w:val="00F039EC"/>
    <w:rsid w:val="00F03AF9"/>
    <w:rsid w:val="00F046DA"/>
    <w:rsid w:val="00F04FFB"/>
    <w:rsid w:val="00F068F2"/>
    <w:rsid w:val="00F10F2D"/>
    <w:rsid w:val="00F11508"/>
    <w:rsid w:val="00F21494"/>
    <w:rsid w:val="00F26495"/>
    <w:rsid w:val="00F26D41"/>
    <w:rsid w:val="00F30289"/>
    <w:rsid w:val="00F3288D"/>
    <w:rsid w:val="00F33C41"/>
    <w:rsid w:val="00F34A30"/>
    <w:rsid w:val="00F35A1D"/>
    <w:rsid w:val="00F366EA"/>
    <w:rsid w:val="00F371BB"/>
    <w:rsid w:val="00F374F1"/>
    <w:rsid w:val="00F37638"/>
    <w:rsid w:val="00F376F2"/>
    <w:rsid w:val="00F37ABD"/>
    <w:rsid w:val="00F40343"/>
    <w:rsid w:val="00F403C5"/>
    <w:rsid w:val="00F4397E"/>
    <w:rsid w:val="00F44861"/>
    <w:rsid w:val="00F47B01"/>
    <w:rsid w:val="00F47F66"/>
    <w:rsid w:val="00F50E5E"/>
    <w:rsid w:val="00F50E88"/>
    <w:rsid w:val="00F51278"/>
    <w:rsid w:val="00F513CE"/>
    <w:rsid w:val="00F515F8"/>
    <w:rsid w:val="00F51663"/>
    <w:rsid w:val="00F521E8"/>
    <w:rsid w:val="00F52A9D"/>
    <w:rsid w:val="00F54C2D"/>
    <w:rsid w:val="00F550D4"/>
    <w:rsid w:val="00F6000A"/>
    <w:rsid w:val="00F603A6"/>
    <w:rsid w:val="00F60587"/>
    <w:rsid w:val="00F609CD"/>
    <w:rsid w:val="00F61A39"/>
    <w:rsid w:val="00F61AEB"/>
    <w:rsid w:val="00F630E7"/>
    <w:rsid w:val="00F638DA"/>
    <w:rsid w:val="00F64FD1"/>
    <w:rsid w:val="00F730EF"/>
    <w:rsid w:val="00F751F7"/>
    <w:rsid w:val="00F7623F"/>
    <w:rsid w:val="00F800CA"/>
    <w:rsid w:val="00F80FB8"/>
    <w:rsid w:val="00F81718"/>
    <w:rsid w:val="00F81CC7"/>
    <w:rsid w:val="00F82978"/>
    <w:rsid w:val="00F86251"/>
    <w:rsid w:val="00F8677C"/>
    <w:rsid w:val="00F874F3"/>
    <w:rsid w:val="00F87561"/>
    <w:rsid w:val="00F8774A"/>
    <w:rsid w:val="00F87E7C"/>
    <w:rsid w:val="00F90056"/>
    <w:rsid w:val="00F904BD"/>
    <w:rsid w:val="00F9052A"/>
    <w:rsid w:val="00F93A3F"/>
    <w:rsid w:val="00F9447E"/>
    <w:rsid w:val="00F94787"/>
    <w:rsid w:val="00F94FD1"/>
    <w:rsid w:val="00F95774"/>
    <w:rsid w:val="00F965BE"/>
    <w:rsid w:val="00F97F12"/>
    <w:rsid w:val="00F97F59"/>
    <w:rsid w:val="00FA00F2"/>
    <w:rsid w:val="00FA0397"/>
    <w:rsid w:val="00FA30B3"/>
    <w:rsid w:val="00FA44B7"/>
    <w:rsid w:val="00FA4E41"/>
    <w:rsid w:val="00FA5118"/>
    <w:rsid w:val="00FA776E"/>
    <w:rsid w:val="00FA7CF9"/>
    <w:rsid w:val="00FB06D9"/>
    <w:rsid w:val="00FB13BF"/>
    <w:rsid w:val="00FB141E"/>
    <w:rsid w:val="00FB1A93"/>
    <w:rsid w:val="00FB1E15"/>
    <w:rsid w:val="00FB2639"/>
    <w:rsid w:val="00FB2A00"/>
    <w:rsid w:val="00FB2B4F"/>
    <w:rsid w:val="00FB332D"/>
    <w:rsid w:val="00FB3D30"/>
    <w:rsid w:val="00FB3D53"/>
    <w:rsid w:val="00FB3F6F"/>
    <w:rsid w:val="00FB4BA1"/>
    <w:rsid w:val="00FB4F8D"/>
    <w:rsid w:val="00FB5C4B"/>
    <w:rsid w:val="00FB5DDD"/>
    <w:rsid w:val="00FB616F"/>
    <w:rsid w:val="00FB61C6"/>
    <w:rsid w:val="00FB6511"/>
    <w:rsid w:val="00FB7BC1"/>
    <w:rsid w:val="00FC1317"/>
    <w:rsid w:val="00FC1371"/>
    <w:rsid w:val="00FC15B7"/>
    <w:rsid w:val="00FC178A"/>
    <w:rsid w:val="00FC1E02"/>
    <w:rsid w:val="00FC2757"/>
    <w:rsid w:val="00FC30AF"/>
    <w:rsid w:val="00FC316F"/>
    <w:rsid w:val="00FC32B7"/>
    <w:rsid w:val="00FC541D"/>
    <w:rsid w:val="00FC553C"/>
    <w:rsid w:val="00FC7363"/>
    <w:rsid w:val="00FC769E"/>
    <w:rsid w:val="00FD13AD"/>
    <w:rsid w:val="00FD13B7"/>
    <w:rsid w:val="00FD143C"/>
    <w:rsid w:val="00FD14FE"/>
    <w:rsid w:val="00FD30A7"/>
    <w:rsid w:val="00FD5743"/>
    <w:rsid w:val="00FD6005"/>
    <w:rsid w:val="00FE02CA"/>
    <w:rsid w:val="00FE1657"/>
    <w:rsid w:val="00FE39E3"/>
    <w:rsid w:val="00FE4789"/>
    <w:rsid w:val="00FF12C0"/>
    <w:rsid w:val="00FF4464"/>
    <w:rsid w:val="00FF4FE8"/>
    <w:rsid w:val="00FF51F5"/>
    <w:rsid w:val="00FF6338"/>
    <w:rsid w:val="00FF67B4"/>
    <w:rsid w:val="00FF6FF6"/>
    <w:rsid w:val="00FF71FA"/>
    <w:rsid w:val="00FF7329"/>
    <w:rsid w:val="00FF74C5"/>
    <w:rsid w:val="015BFB10"/>
    <w:rsid w:val="017D61C4"/>
    <w:rsid w:val="02A478CB"/>
    <w:rsid w:val="02B175E8"/>
    <w:rsid w:val="032FEE4E"/>
    <w:rsid w:val="04C0B2C4"/>
    <w:rsid w:val="05813E33"/>
    <w:rsid w:val="05DDA24E"/>
    <w:rsid w:val="05F77F6E"/>
    <w:rsid w:val="0811362E"/>
    <w:rsid w:val="084E9142"/>
    <w:rsid w:val="08957152"/>
    <w:rsid w:val="09906B46"/>
    <w:rsid w:val="09A9BF30"/>
    <w:rsid w:val="09C3C6F0"/>
    <w:rsid w:val="09D27987"/>
    <w:rsid w:val="0A1DFA81"/>
    <w:rsid w:val="0A7E7E90"/>
    <w:rsid w:val="0BE87E18"/>
    <w:rsid w:val="0CE442AA"/>
    <w:rsid w:val="0D2780FF"/>
    <w:rsid w:val="0D5FB799"/>
    <w:rsid w:val="0D931D38"/>
    <w:rsid w:val="0E0EF3DF"/>
    <w:rsid w:val="0EC586E2"/>
    <w:rsid w:val="0FA62B32"/>
    <w:rsid w:val="0FDC00C9"/>
    <w:rsid w:val="113C553D"/>
    <w:rsid w:val="12028FED"/>
    <w:rsid w:val="124F147C"/>
    <w:rsid w:val="12D887C4"/>
    <w:rsid w:val="134B428C"/>
    <w:rsid w:val="13B0667D"/>
    <w:rsid w:val="146EBB35"/>
    <w:rsid w:val="147675EA"/>
    <w:rsid w:val="14AA4730"/>
    <w:rsid w:val="155D2153"/>
    <w:rsid w:val="1667A45A"/>
    <w:rsid w:val="176D7C48"/>
    <w:rsid w:val="179DAA22"/>
    <w:rsid w:val="17B58A52"/>
    <w:rsid w:val="181D70CF"/>
    <w:rsid w:val="194C0731"/>
    <w:rsid w:val="1A2589C0"/>
    <w:rsid w:val="1A7863F3"/>
    <w:rsid w:val="1ABC49F2"/>
    <w:rsid w:val="1AFC2B0C"/>
    <w:rsid w:val="1B3602DF"/>
    <w:rsid w:val="1B7A9ECF"/>
    <w:rsid w:val="1BB33A7A"/>
    <w:rsid w:val="1C3BF330"/>
    <w:rsid w:val="1C5D4121"/>
    <w:rsid w:val="1CCFB6FE"/>
    <w:rsid w:val="1D559C2F"/>
    <w:rsid w:val="1D6F6BDC"/>
    <w:rsid w:val="1DB5FF17"/>
    <w:rsid w:val="1E02D4DE"/>
    <w:rsid w:val="1F9B330B"/>
    <w:rsid w:val="207B746A"/>
    <w:rsid w:val="2080B750"/>
    <w:rsid w:val="21252E51"/>
    <w:rsid w:val="2160F26D"/>
    <w:rsid w:val="21C13D61"/>
    <w:rsid w:val="21E581C7"/>
    <w:rsid w:val="23590039"/>
    <w:rsid w:val="23839111"/>
    <w:rsid w:val="23839927"/>
    <w:rsid w:val="2390511F"/>
    <w:rsid w:val="240ABDF3"/>
    <w:rsid w:val="241254FC"/>
    <w:rsid w:val="242B3BF4"/>
    <w:rsid w:val="2437BC2B"/>
    <w:rsid w:val="244346D5"/>
    <w:rsid w:val="25E0A8C8"/>
    <w:rsid w:val="25E56B64"/>
    <w:rsid w:val="26352F9A"/>
    <w:rsid w:val="263966B7"/>
    <w:rsid w:val="26DCFFD0"/>
    <w:rsid w:val="270E58B7"/>
    <w:rsid w:val="275EAC63"/>
    <w:rsid w:val="277C0D74"/>
    <w:rsid w:val="279A04A7"/>
    <w:rsid w:val="27B211C5"/>
    <w:rsid w:val="280D536D"/>
    <w:rsid w:val="2825B6D8"/>
    <w:rsid w:val="29B70769"/>
    <w:rsid w:val="2C527DF2"/>
    <w:rsid w:val="2C9E048D"/>
    <w:rsid w:val="2CBD2137"/>
    <w:rsid w:val="2D20356C"/>
    <w:rsid w:val="2D6727DE"/>
    <w:rsid w:val="2D72B5EB"/>
    <w:rsid w:val="2D85EA12"/>
    <w:rsid w:val="2ED9C45E"/>
    <w:rsid w:val="301223D5"/>
    <w:rsid w:val="30365451"/>
    <w:rsid w:val="3084683B"/>
    <w:rsid w:val="308A7E04"/>
    <w:rsid w:val="309E5136"/>
    <w:rsid w:val="30A7D874"/>
    <w:rsid w:val="31A6510C"/>
    <w:rsid w:val="31C901D2"/>
    <w:rsid w:val="3220C8B8"/>
    <w:rsid w:val="33969215"/>
    <w:rsid w:val="33C6C127"/>
    <w:rsid w:val="34041960"/>
    <w:rsid w:val="35292A0E"/>
    <w:rsid w:val="3664725D"/>
    <w:rsid w:val="36B10031"/>
    <w:rsid w:val="378EEF7A"/>
    <w:rsid w:val="38E76829"/>
    <w:rsid w:val="390C830C"/>
    <w:rsid w:val="396C3E16"/>
    <w:rsid w:val="39B63603"/>
    <w:rsid w:val="3A48555F"/>
    <w:rsid w:val="3ABD6DED"/>
    <w:rsid w:val="3B180775"/>
    <w:rsid w:val="3CCBED64"/>
    <w:rsid w:val="3D04D036"/>
    <w:rsid w:val="3D4030D1"/>
    <w:rsid w:val="3D5236E6"/>
    <w:rsid w:val="3E0BB370"/>
    <w:rsid w:val="3E37BF4F"/>
    <w:rsid w:val="3E512111"/>
    <w:rsid w:val="3F3E4A86"/>
    <w:rsid w:val="3F95863A"/>
    <w:rsid w:val="3FE5A7A1"/>
    <w:rsid w:val="40402B78"/>
    <w:rsid w:val="40DA9D1E"/>
    <w:rsid w:val="41542A04"/>
    <w:rsid w:val="41AF72F8"/>
    <w:rsid w:val="42A0DC88"/>
    <w:rsid w:val="42C8D75F"/>
    <w:rsid w:val="4306B1B7"/>
    <w:rsid w:val="43120132"/>
    <w:rsid w:val="43EF2C79"/>
    <w:rsid w:val="44301EA0"/>
    <w:rsid w:val="444CFB7D"/>
    <w:rsid w:val="44A5D9D1"/>
    <w:rsid w:val="44D0A7E4"/>
    <w:rsid w:val="44DE8D98"/>
    <w:rsid w:val="45B97F40"/>
    <w:rsid w:val="460C733C"/>
    <w:rsid w:val="46B2F5EF"/>
    <w:rsid w:val="4726CD3B"/>
    <w:rsid w:val="4735E079"/>
    <w:rsid w:val="474B9EFD"/>
    <w:rsid w:val="47FEC884"/>
    <w:rsid w:val="4932C06E"/>
    <w:rsid w:val="4959B9E6"/>
    <w:rsid w:val="49775E5D"/>
    <w:rsid w:val="49A29D50"/>
    <w:rsid w:val="4A450433"/>
    <w:rsid w:val="4A958497"/>
    <w:rsid w:val="4AC614BB"/>
    <w:rsid w:val="4B54B12A"/>
    <w:rsid w:val="4C5437FC"/>
    <w:rsid w:val="4CD87F83"/>
    <w:rsid w:val="4D6E6B87"/>
    <w:rsid w:val="4E068E8A"/>
    <w:rsid w:val="4E08B801"/>
    <w:rsid w:val="4EBFAB18"/>
    <w:rsid w:val="4EEB01D7"/>
    <w:rsid w:val="4F3A61F7"/>
    <w:rsid w:val="4FA1A882"/>
    <w:rsid w:val="4FC5572F"/>
    <w:rsid w:val="524F767F"/>
    <w:rsid w:val="527B5AA5"/>
    <w:rsid w:val="533B576F"/>
    <w:rsid w:val="5442DE1D"/>
    <w:rsid w:val="546EE7C9"/>
    <w:rsid w:val="548B0CC5"/>
    <w:rsid w:val="56652E5C"/>
    <w:rsid w:val="5A465C05"/>
    <w:rsid w:val="5AE49402"/>
    <w:rsid w:val="5AE95BD7"/>
    <w:rsid w:val="5AED701A"/>
    <w:rsid w:val="5B4AC723"/>
    <w:rsid w:val="5B72EE4D"/>
    <w:rsid w:val="5BE82252"/>
    <w:rsid w:val="5C784CF3"/>
    <w:rsid w:val="5CA45285"/>
    <w:rsid w:val="5CA6A7CF"/>
    <w:rsid w:val="5D3BA216"/>
    <w:rsid w:val="5ECDB9A5"/>
    <w:rsid w:val="5EEBBE7A"/>
    <w:rsid w:val="5F68488A"/>
    <w:rsid w:val="5F73B7E2"/>
    <w:rsid w:val="5FBF776A"/>
    <w:rsid w:val="5FC01342"/>
    <w:rsid w:val="627F3A4D"/>
    <w:rsid w:val="628C8C56"/>
    <w:rsid w:val="629C7DB7"/>
    <w:rsid w:val="62AF3AF2"/>
    <w:rsid w:val="63756D12"/>
    <w:rsid w:val="6444A22F"/>
    <w:rsid w:val="64C62DE4"/>
    <w:rsid w:val="64E2347F"/>
    <w:rsid w:val="654AB656"/>
    <w:rsid w:val="66199EB0"/>
    <w:rsid w:val="66B89A96"/>
    <w:rsid w:val="67A1E092"/>
    <w:rsid w:val="67BBC7EF"/>
    <w:rsid w:val="688F739F"/>
    <w:rsid w:val="68A8BA52"/>
    <w:rsid w:val="68CBF75B"/>
    <w:rsid w:val="68CDB6C0"/>
    <w:rsid w:val="6A061FB4"/>
    <w:rsid w:val="6B32BE00"/>
    <w:rsid w:val="6BB039C9"/>
    <w:rsid w:val="6C8FEB9F"/>
    <w:rsid w:val="6CBD59AB"/>
    <w:rsid w:val="6D2F3C0A"/>
    <w:rsid w:val="6D7C2B75"/>
    <w:rsid w:val="6E54ECB0"/>
    <w:rsid w:val="6E7DA269"/>
    <w:rsid w:val="6EB9E80A"/>
    <w:rsid w:val="6ECAAD30"/>
    <w:rsid w:val="703488CE"/>
    <w:rsid w:val="70AAACD7"/>
    <w:rsid w:val="70AEAC41"/>
    <w:rsid w:val="70FB18FE"/>
    <w:rsid w:val="7175E528"/>
    <w:rsid w:val="720A73D3"/>
    <w:rsid w:val="721FBFE7"/>
    <w:rsid w:val="7266B3E8"/>
    <w:rsid w:val="75DF4F7E"/>
    <w:rsid w:val="75F0F594"/>
    <w:rsid w:val="779DD2F4"/>
    <w:rsid w:val="7816D0AE"/>
    <w:rsid w:val="78466B1B"/>
    <w:rsid w:val="78C88286"/>
    <w:rsid w:val="791413C3"/>
    <w:rsid w:val="79C60DCD"/>
    <w:rsid w:val="7AE9F487"/>
    <w:rsid w:val="7C0B5A9A"/>
    <w:rsid w:val="7C2CFBEE"/>
    <w:rsid w:val="7CA37F3D"/>
    <w:rsid w:val="7F0ED00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61E6"/>
  <w15:docId w15:val="{EBFB7CB3-69C4-401D-B29E-FE56B42C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B0"/>
    <w:pPr>
      <w:spacing w:after="200" w:line="276" w:lineRule="auto"/>
    </w:pPr>
    <w:rPr>
      <w:sz w:val="22"/>
      <w:szCs w:val="22"/>
      <w:lang w:eastAsia="en-US"/>
    </w:rPr>
  </w:style>
  <w:style w:type="paragraph" w:styleId="Heading1">
    <w:name w:val="heading 1"/>
    <w:basedOn w:val="Normal"/>
    <w:next w:val="Normal"/>
    <w:link w:val="Heading1Char"/>
    <w:uiPriority w:val="9"/>
    <w:qFormat/>
    <w:rsid w:val="00992F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B65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
    <w:basedOn w:val="Normal"/>
    <w:link w:val="FootnoteTextChar"/>
    <w:unhideWhenUsed/>
    <w:rsid w:val="002F2CB9"/>
    <w:rPr>
      <w:sz w:val="20"/>
      <w:szCs w:val="20"/>
    </w:rPr>
  </w:style>
  <w:style w:type="character" w:customStyle="1" w:styleId="FootnoteTextChar">
    <w:name w:val="Footnote Text Char"/>
    <w:aliases w:val="5_G Char"/>
    <w:link w:val="FootnoteText"/>
    <w:rsid w:val="002F2CB9"/>
    <w:rPr>
      <w:lang w:eastAsia="en-US"/>
    </w:rPr>
  </w:style>
  <w:style w:type="character" w:styleId="FootnoteReference">
    <w:name w:val="footnote reference"/>
    <w:aliases w:val="4_G,Ref. de nota al pie 2,Footnotes refss,Texto de nota al pie,Appel note de bas de page,Footnote number,referencia nota al pie,BVI fnr,f,16 Point,Superscript 6 Point,Texto nota al pie,julio,Footnote Reference Char3,ftref,Ref,ftre,R"/>
    <w:uiPriority w:val="99"/>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unhideWhenUsed/>
    <w:rsid w:val="00C54EC7"/>
    <w:rPr>
      <w:sz w:val="20"/>
      <w:szCs w:val="20"/>
    </w:rPr>
  </w:style>
  <w:style w:type="character" w:customStyle="1" w:styleId="CommentTextChar">
    <w:name w:val="Comment Text Char"/>
    <w:link w:val="CommentText"/>
    <w:uiPriority w:val="99"/>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link w:val="SingleTxtGChar"/>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 w:type="character" w:customStyle="1" w:styleId="SingleTxtGChar">
    <w:name w:val="_ Single Txt_G Char"/>
    <w:link w:val="SingleTxtG"/>
    <w:rsid w:val="005E2A23"/>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913864"/>
    <w:rPr>
      <w:color w:val="605E5C"/>
      <w:shd w:val="clear" w:color="auto" w:fill="E1DFDD"/>
    </w:rPr>
  </w:style>
  <w:style w:type="paragraph" w:styleId="NoSpacing">
    <w:name w:val="No Spacing"/>
    <w:uiPriority w:val="1"/>
    <w:qFormat/>
    <w:rsid w:val="00DF2888"/>
    <w:rPr>
      <w:sz w:val="22"/>
      <w:szCs w:val="22"/>
      <w:lang w:eastAsia="en-US"/>
    </w:rPr>
  </w:style>
  <w:style w:type="character" w:customStyle="1" w:styleId="ui-provider">
    <w:name w:val="ui-provider"/>
    <w:basedOn w:val="DefaultParagraphFont"/>
    <w:rsid w:val="00D00CB5"/>
  </w:style>
  <w:style w:type="character" w:customStyle="1" w:styleId="normaltextrun">
    <w:name w:val="normaltextrun"/>
    <w:basedOn w:val="DefaultParagraphFont"/>
    <w:rsid w:val="005C78F6"/>
  </w:style>
  <w:style w:type="character" w:customStyle="1" w:styleId="Heading1Char">
    <w:name w:val="Heading 1 Char"/>
    <w:basedOn w:val="DefaultParagraphFont"/>
    <w:link w:val="Heading1"/>
    <w:uiPriority w:val="9"/>
    <w:rsid w:val="00992F62"/>
    <w:rPr>
      <w:rFonts w:asciiTheme="majorHAnsi" w:eastAsiaTheme="majorEastAsia" w:hAnsiTheme="majorHAnsi" w:cstheme="majorBidi"/>
      <w:color w:val="365F91" w:themeColor="accent1" w:themeShade="BF"/>
      <w:sz w:val="32"/>
      <w:szCs w:val="32"/>
      <w:lang w:eastAsia="en-US"/>
    </w:rPr>
  </w:style>
  <w:style w:type="paragraph" w:customStyle="1" w:styleId="xmsolistparagraph">
    <w:name w:val="x_msolistparagraph"/>
    <w:basedOn w:val="Normal"/>
    <w:rsid w:val="00855161"/>
    <w:pPr>
      <w:spacing w:before="100" w:beforeAutospacing="1" w:after="100" w:afterAutospacing="1" w:line="240" w:lineRule="auto"/>
    </w:pPr>
    <w:rPr>
      <w:rFonts w:ascii="Times New Roman" w:eastAsia="Times New Roman" w:hAnsi="Times New Roman"/>
      <w:sz w:val="24"/>
      <w:szCs w:val="24"/>
      <w:lang w:eastAsia="en-GB" w:bidi="th-TH"/>
    </w:rPr>
  </w:style>
  <w:style w:type="paragraph" w:customStyle="1" w:styleId="xmsonormal">
    <w:name w:val="x_msonormal"/>
    <w:basedOn w:val="Normal"/>
    <w:rsid w:val="00855161"/>
    <w:pPr>
      <w:spacing w:before="100" w:beforeAutospacing="1" w:after="100" w:afterAutospacing="1" w:line="240" w:lineRule="auto"/>
    </w:pPr>
    <w:rPr>
      <w:rFonts w:ascii="Times New Roman" w:eastAsia="Times New Roman" w:hAnsi="Times New Roman"/>
      <w:sz w:val="24"/>
      <w:szCs w:val="24"/>
      <w:lang w:eastAsia="en-GB" w:bidi="th-TH"/>
    </w:rPr>
  </w:style>
  <w:style w:type="paragraph" w:styleId="NormalWeb">
    <w:name w:val="Normal (Web)"/>
    <w:basedOn w:val="Normal"/>
    <w:uiPriority w:val="99"/>
    <w:semiHidden/>
    <w:unhideWhenUsed/>
    <w:rsid w:val="003A4833"/>
    <w:rPr>
      <w:rFonts w:ascii="Times New Roman" w:hAnsi="Times New Roman"/>
      <w:sz w:val="24"/>
      <w:szCs w:val="24"/>
    </w:rPr>
  </w:style>
  <w:style w:type="character" w:customStyle="1" w:styleId="Heading2Char">
    <w:name w:val="Heading 2 Char"/>
    <w:basedOn w:val="DefaultParagraphFont"/>
    <w:link w:val="Heading2"/>
    <w:uiPriority w:val="9"/>
    <w:semiHidden/>
    <w:rsid w:val="005B65F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1628">
      <w:bodyDiv w:val="1"/>
      <w:marLeft w:val="0"/>
      <w:marRight w:val="0"/>
      <w:marTop w:val="0"/>
      <w:marBottom w:val="0"/>
      <w:divBdr>
        <w:top w:val="none" w:sz="0" w:space="0" w:color="auto"/>
        <w:left w:val="none" w:sz="0" w:space="0" w:color="auto"/>
        <w:bottom w:val="none" w:sz="0" w:space="0" w:color="auto"/>
        <w:right w:val="none" w:sz="0" w:space="0" w:color="auto"/>
      </w:divBdr>
    </w:div>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290522569">
      <w:bodyDiv w:val="1"/>
      <w:marLeft w:val="0"/>
      <w:marRight w:val="0"/>
      <w:marTop w:val="0"/>
      <w:marBottom w:val="0"/>
      <w:divBdr>
        <w:top w:val="none" w:sz="0" w:space="0" w:color="auto"/>
        <w:left w:val="none" w:sz="0" w:space="0" w:color="auto"/>
        <w:bottom w:val="none" w:sz="0" w:space="0" w:color="auto"/>
        <w:right w:val="none" w:sz="0" w:space="0" w:color="auto"/>
      </w:divBdr>
    </w:div>
    <w:div w:id="290984306">
      <w:bodyDiv w:val="1"/>
      <w:marLeft w:val="0"/>
      <w:marRight w:val="0"/>
      <w:marTop w:val="0"/>
      <w:marBottom w:val="0"/>
      <w:divBdr>
        <w:top w:val="none" w:sz="0" w:space="0" w:color="auto"/>
        <w:left w:val="none" w:sz="0" w:space="0" w:color="auto"/>
        <w:bottom w:val="none" w:sz="0" w:space="0" w:color="auto"/>
        <w:right w:val="none" w:sz="0" w:space="0" w:color="auto"/>
      </w:divBdr>
    </w:div>
    <w:div w:id="544176350">
      <w:bodyDiv w:val="1"/>
      <w:marLeft w:val="0"/>
      <w:marRight w:val="0"/>
      <w:marTop w:val="0"/>
      <w:marBottom w:val="0"/>
      <w:divBdr>
        <w:top w:val="none" w:sz="0" w:space="0" w:color="auto"/>
        <w:left w:val="none" w:sz="0" w:space="0" w:color="auto"/>
        <w:bottom w:val="none" w:sz="0" w:space="0" w:color="auto"/>
        <w:right w:val="none" w:sz="0" w:space="0" w:color="auto"/>
      </w:divBdr>
    </w:div>
    <w:div w:id="550773693">
      <w:bodyDiv w:val="1"/>
      <w:marLeft w:val="0"/>
      <w:marRight w:val="0"/>
      <w:marTop w:val="0"/>
      <w:marBottom w:val="0"/>
      <w:divBdr>
        <w:top w:val="none" w:sz="0" w:space="0" w:color="auto"/>
        <w:left w:val="none" w:sz="0" w:space="0" w:color="auto"/>
        <w:bottom w:val="none" w:sz="0" w:space="0" w:color="auto"/>
        <w:right w:val="none" w:sz="0" w:space="0" w:color="auto"/>
      </w:divBdr>
    </w:div>
    <w:div w:id="610555943">
      <w:bodyDiv w:val="1"/>
      <w:marLeft w:val="0"/>
      <w:marRight w:val="0"/>
      <w:marTop w:val="0"/>
      <w:marBottom w:val="0"/>
      <w:divBdr>
        <w:top w:val="none" w:sz="0" w:space="0" w:color="auto"/>
        <w:left w:val="none" w:sz="0" w:space="0" w:color="auto"/>
        <w:bottom w:val="none" w:sz="0" w:space="0" w:color="auto"/>
        <w:right w:val="none" w:sz="0" w:space="0" w:color="auto"/>
      </w:divBdr>
    </w:div>
    <w:div w:id="614478917">
      <w:bodyDiv w:val="1"/>
      <w:marLeft w:val="0"/>
      <w:marRight w:val="0"/>
      <w:marTop w:val="0"/>
      <w:marBottom w:val="0"/>
      <w:divBdr>
        <w:top w:val="none" w:sz="0" w:space="0" w:color="auto"/>
        <w:left w:val="none" w:sz="0" w:space="0" w:color="auto"/>
        <w:bottom w:val="none" w:sz="0" w:space="0" w:color="auto"/>
        <w:right w:val="none" w:sz="0" w:space="0" w:color="auto"/>
      </w:divBdr>
    </w:div>
    <w:div w:id="734545032">
      <w:bodyDiv w:val="1"/>
      <w:marLeft w:val="0"/>
      <w:marRight w:val="0"/>
      <w:marTop w:val="0"/>
      <w:marBottom w:val="0"/>
      <w:divBdr>
        <w:top w:val="none" w:sz="0" w:space="0" w:color="auto"/>
        <w:left w:val="none" w:sz="0" w:space="0" w:color="auto"/>
        <w:bottom w:val="none" w:sz="0" w:space="0" w:color="auto"/>
        <w:right w:val="none" w:sz="0" w:space="0" w:color="auto"/>
      </w:divBdr>
    </w:div>
    <w:div w:id="809244793">
      <w:bodyDiv w:val="1"/>
      <w:marLeft w:val="0"/>
      <w:marRight w:val="0"/>
      <w:marTop w:val="0"/>
      <w:marBottom w:val="0"/>
      <w:divBdr>
        <w:top w:val="none" w:sz="0" w:space="0" w:color="auto"/>
        <w:left w:val="none" w:sz="0" w:space="0" w:color="auto"/>
        <w:bottom w:val="none" w:sz="0" w:space="0" w:color="auto"/>
        <w:right w:val="none" w:sz="0" w:space="0" w:color="auto"/>
      </w:divBdr>
    </w:div>
    <w:div w:id="871648406">
      <w:bodyDiv w:val="1"/>
      <w:marLeft w:val="0"/>
      <w:marRight w:val="0"/>
      <w:marTop w:val="0"/>
      <w:marBottom w:val="0"/>
      <w:divBdr>
        <w:top w:val="none" w:sz="0" w:space="0" w:color="auto"/>
        <w:left w:val="none" w:sz="0" w:space="0" w:color="auto"/>
        <w:bottom w:val="none" w:sz="0" w:space="0" w:color="auto"/>
        <w:right w:val="none" w:sz="0" w:space="0" w:color="auto"/>
      </w:divBdr>
    </w:div>
    <w:div w:id="909189417">
      <w:bodyDiv w:val="1"/>
      <w:marLeft w:val="0"/>
      <w:marRight w:val="0"/>
      <w:marTop w:val="0"/>
      <w:marBottom w:val="0"/>
      <w:divBdr>
        <w:top w:val="none" w:sz="0" w:space="0" w:color="auto"/>
        <w:left w:val="none" w:sz="0" w:space="0" w:color="auto"/>
        <w:bottom w:val="none" w:sz="0" w:space="0" w:color="auto"/>
        <w:right w:val="none" w:sz="0" w:space="0" w:color="auto"/>
      </w:divBdr>
    </w:div>
    <w:div w:id="1122654270">
      <w:bodyDiv w:val="1"/>
      <w:marLeft w:val="0"/>
      <w:marRight w:val="0"/>
      <w:marTop w:val="0"/>
      <w:marBottom w:val="0"/>
      <w:divBdr>
        <w:top w:val="none" w:sz="0" w:space="0" w:color="auto"/>
        <w:left w:val="none" w:sz="0" w:space="0" w:color="auto"/>
        <w:bottom w:val="none" w:sz="0" w:space="0" w:color="auto"/>
        <w:right w:val="none" w:sz="0" w:space="0" w:color="auto"/>
      </w:divBdr>
    </w:div>
    <w:div w:id="1276015746">
      <w:bodyDiv w:val="1"/>
      <w:marLeft w:val="0"/>
      <w:marRight w:val="0"/>
      <w:marTop w:val="0"/>
      <w:marBottom w:val="0"/>
      <w:divBdr>
        <w:top w:val="none" w:sz="0" w:space="0" w:color="auto"/>
        <w:left w:val="none" w:sz="0" w:space="0" w:color="auto"/>
        <w:bottom w:val="none" w:sz="0" w:space="0" w:color="auto"/>
        <w:right w:val="none" w:sz="0" w:space="0" w:color="auto"/>
      </w:divBdr>
    </w:div>
    <w:div w:id="1460759212">
      <w:bodyDiv w:val="1"/>
      <w:marLeft w:val="0"/>
      <w:marRight w:val="0"/>
      <w:marTop w:val="0"/>
      <w:marBottom w:val="0"/>
      <w:divBdr>
        <w:top w:val="none" w:sz="0" w:space="0" w:color="auto"/>
        <w:left w:val="none" w:sz="0" w:space="0" w:color="auto"/>
        <w:bottom w:val="none" w:sz="0" w:space="0" w:color="auto"/>
        <w:right w:val="none" w:sz="0" w:space="0" w:color="auto"/>
      </w:divBdr>
    </w:div>
    <w:div w:id="1474447729">
      <w:bodyDiv w:val="1"/>
      <w:marLeft w:val="0"/>
      <w:marRight w:val="0"/>
      <w:marTop w:val="0"/>
      <w:marBottom w:val="0"/>
      <w:divBdr>
        <w:top w:val="none" w:sz="0" w:space="0" w:color="auto"/>
        <w:left w:val="none" w:sz="0" w:space="0" w:color="auto"/>
        <w:bottom w:val="none" w:sz="0" w:space="0" w:color="auto"/>
        <w:right w:val="none" w:sz="0" w:space="0" w:color="auto"/>
      </w:divBdr>
    </w:div>
    <w:div w:id="1611275788">
      <w:bodyDiv w:val="1"/>
      <w:marLeft w:val="0"/>
      <w:marRight w:val="0"/>
      <w:marTop w:val="0"/>
      <w:marBottom w:val="0"/>
      <w:divBdr>
        <w:top w:val="none" w:sz="0" w:space="0" w:color="auto"/>
        <w:left w:val="none" w:sz="0" w:space="0" w:color="auto"/>
        <w:bottom w:val="none" w:sz="0" w:space="0" w:color="auto"/>
        <w:right w:val="none" w:sz="0" w:space="0" w:color="auto"/>
      </w:divBdr>
    </w:div>
    <w:div w:id="1634015450">
      <w:bodyDiv w:val="1"/>
      <w:marLeft w:val="0"/>
      <w:marRight w:val="0"/>
      <w:marTop w:val="0"/>
      <w:marBottom w:val="0"/>
      <w:divBdr>
        <w:top w:val="none" w:sz="0" w:space="0" w:color="auto"/>
        <w:left w:val="none" w:sz="0" w:space="0" w:color="auto"/>
        <w:bottom w:val="none" w:sz="0" w:space="0" w:color="auto"/>
        <w:right w:val="none" w:sz="0" w:space="0" w:color="auto"/>
      </w:divBdr>
    </w:div>
    <w:div w:id="1653486725">
      <w:bodyDiv w:val="1"/>
      <w:marLeft w:val="0"/>
      <w:marRight w:val="0"/>
      <w:marTop w:val="0"/>
      <w:marBottom w:val="0"/>
      <w:divBdr>
        <w:top w:val="none" w:sz="0" w:space="0" w:color="auto"/>
        <w:left w:val="none" w:sz="0" w:space="0" w:color="auto"/>
        <w:bottom w:val="none" w:sz="0" w:space="0" w:color="auto"/>
        <w:right w:val="none" w:sz="0" w:space="0" w:color="auto"/>
      </w:divBdr>
    </w:div>
    <w:div w:id="1806241955">
      <w:bodyDiv w:val="1"/>
      <w:marLeft w:val="0"/>
      <w:marRight w:val="0"/>
      <w:marTop w:val="0"/>
      <w:marBottom w:val="0"/>
      <w:divBdr>
        <w:top w:val="none" w:sz="0" w:space="0" w:color="auto"/>
        <w:left w:val="none" w:sz="0" w:space="0" w:color="auto"/>
        <w:bottom w:val="none" w:sz="0" w:space="0" w:color="auto"/>
        <w:right w:val="none" w:sz="0" w:space="0" w:color="auto"/>
      </w:divBdr>
    </w:div>
    <w:div w:id="1812289819">
      <w:bodyDiv w:val="1"/>
      <w:marLeft w:val="0"/>
      <w:marRight w:val="0"/>
      <w:marTop w:val="0"/>
      <w:marBottom w:val="0"/>
      <w:divBdr>
        <w:top w:val="none" w:sz="0" w:space="0" w:color="auto"/>
        <w:left w:val="none" w:sz="0" w:space="0" w:color="auto"/>
        <w:bottom w:val="none" w:sz="0" w:space="0" w:color="auto"/>
        <w:right w:val="none" w:sz="0" w:space="0" w:color="auto"/>
      </w:divBdr>
    </w:div>
    <w:div w:id="1823350741">
      <w:bodyDiv w:val="1"/>
      <w:marLeft w:val="0"/>
      <w:marRight w:val="0"/>
      <w:marTop w:val="0"/>
      <w:marBottom w:val="0"/>
      <w:divBdr>
        <w:top w:val="none" w:sz="0" w:space="0" w:color="auto"/>
        <w:left w:val="none" w:sz="0" w:space="0" w:color="auto"/>
        <w:bottom w:val="none" w:sz="0" w:space="0" w:color="auto"/>
        <w:right w:val="none" w:sz="0" w:space="0" w:color="auto"/>
      </w:divBdr>
    </w:div>
    <w:div w:id="1835757825">
      <w:bodyDiv w:val="1"/>
      <w:marLeft w:val="0"/>
      <w:marRight w:val="0"/>
      <w:marTop w:val="0"/>
      <w:marBottom w:val="0"/>
      <w:divBdr>
        <w:top w:val="none" w:sz="0" w:space="0" w:color="auto"/>
        <w:left w:val="none" w:sz="0" w:space="0" w:color="auto"/>
        <w:bottom w:val="none" w:sz="0" w:space="0" w:color="auto"/>
        <w:right w:val="none" w:sz="0" w:space="0" w:color="auto"/>
      </w:divBdr>
    </w:div>
    <w:div w:id="1919440223">
      <w:bodyDiv w:val="1"/>
      <w:marLeft w:val="0"/>
      <w:marRight w:val="0"/>
      <w:marTop w:val="0"/>
      <w:marBottom w:val="0"/>
      <w:divBdr>
        <w:top w:val="none" w:sz="0" w:space="0" w:color="auto"/>
        <w:left w:val="none" w:sz="0" w:space="0" w:color="auto"/>
        <w:bottom w:val="none" w:sz="0" w:space="0" w:color="auto"/>
        <w:right w:val="none" w:sz="0" w:space="0" w:color="auto"/>
      </w:divBdr>
    </w:div>
    <w:div w:id="20332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org/A/HRC/RES/58/15" TargetMode="External"/><Relationship Id="rId18" Type="http://schemas.openxmlformats.org/officeDocument/2006/relationships/hyperlink" Target="https://www.streamtext.net/player?event=CFI-UNOG" TargetMode="External"/><Relationship Id="rId26" Type="http://schemas.openxmlformats.org/officeDocument/2006/relationships/hyperlink" Target="https://www.undp.org/publications/global-report-gender-equality-public-administration" TargetMode="External"/><Relationship Id="rId3" Type="http://schemas.openxmlformats.org/officeDocument/2006/relationships/customXml" Target="../customXml/item3.xml"/><Relationship Id="rId21" Type="http://schemas.openxmlformats.org/officeDocument/2006/relationships/hyperlink" Target="https://docs.un.org/E/CN.6/2026/L.2" TargetMode="External"/><Relationship Id="rId7" Type="http://schemas.openxmlformats.org/officeDocument/2006/relationships/settings" Target="settings.xml"/><Relationship Id="rId12" Type="http://schemas.openxmlformats.org/officeDocument/2006/relationships/hyperlink" Target="https://ap.ohchr.org/documents/E/HRC/resolutions/A_HRC_RES_6_30.pdf" TargetMode="External"/><Relationship Id="rId17" Type="http://schemas.openxmlformats.org/officeDocument/2006/relationships/hyperlink" Target="https://hrcmeetings.ohchr.org/HRCSessions/RegularSessions/59/Pages/default.aspx" TargetMode="External"/><Relationship Id="rId25" Type="http://schemas.openxmlformats.org/officeDocument/2006/relationships/hyperlink" Target="https://knowledge.unwomen.org/en/digital-library/publications/2026/02/women-in-the-diplomatic-corps-normative-frameworks-structural-barriers-and-policy-recommendations" TargetMode="External"/><Relationship Id="rId2" Type="http://schemas.openxmlformats.org/officeDocument/2006/relationships/customXml" Target="../customXml/item2.xml"/><Relationship Id="rId16" Type="http://schemas.openxmlformats.org/officeDocument/2006/relationships/hyperlink" Target="https://unstats.un.org/unsd/gender/Data/C156%20-%20Workers%20with%20Family%20Responsibilities%20Convention,%201981%20(No.%20156).pdf" TargetMode="External"/><Relationship Id="rId20" Type="http://schemas.openxmlformats.org/officeDocument/2006/relationships/hyperlink" Target="https://tbinternet.ohchr.org/_layouts/15/treatybodyexternal/Download.aspx?symbolno=CEDAW%2FC%2FGC%2F40&amp;Lang=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tv.un.org" TargetMode="External"/><Relationship Id="rId24" Type="http://schemas.openxmlformats.org/officeDocument/2006/relationships/hyperlink" Target="https://www.ilo.org/sites/default/files/2026-04/ILC114-VI-%5BWORKQ-260122-001%5D-EN.pdf" TargetMode="External"/><Relationship Id="rId5" Type="http://schemas.openxmlformats.org/officeDocument/2006/relationships/numbering" Target="numbering.xml"/><Relationship Id="rId15" Type="http://schemas.openxmlformats.org/officeDocument/2006/relationships/hyperlink" Target="https://docs.un.org/en/E/CN.6/2026/L.2" TargetMode="External"/><Relationship Id="rId23" Type="http://schemas.openxmlformats.org/officeDocument/2006/relationships/hyperlink" Target="https://tbinternet.ohchr.org/_layouts/15/treatybodyexternal/Download.aspx?symbolno=E%2FC.12%2FGC%2F23&amp;Lang=en" TargetMode="External"/><Relationship Id="rId28" Type="http://schemas.openxmlformats.org/officeDocument/2006/relationships/hyperlink" Target="https://docs.un.org/en/A/52/38/REV.1(SUPP)" TargetMode="External"/><Relationship Id="rId10" Type="http://schemas.openxmlformats.org/officeDocument/2006/relationships/endnotes" Target="endnotes.xml"/><Relationship Id="rId19" Type="http://schemas.openxmlformats.org/officeDocument/2006/relationships/hyperlink" Target="https://www.ohchr.org/en/hr-bodies/hrc/accessibil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documents/general-comments-and-recommendations/general-recommendation-no-40-equal-and-inclusive" TargetMode="External"/><Relationship Id="rId22" Type="http://schemas.openxmlformats.org/officeDocument/2006/relationships/hyperlink" Target="https://tbinternet.ohchr.org/_layouts/15/treatybodyexternal/Download.aspx?symbolno=E%2FC.12%2FGC%2F18&amp;Lang=en" TargetMode="External"/><Relationship Id="rId27" Type="http://schemas.openxmlformats.org/officeDocument/2006/relationships/hyperlink" Target="https://www.bing.com/ck/a?!&amp;&amp;p=a2946d20891e9a2a4255decd74086c483804ce585e897133a9adb9ada189395cJmltdHM9MTc3NjcyOTYwMA&amp;ptn=3&amp;ver=2&amp;hsh=4&amp;fclid=079bb70b-25df-630a-1c02-a1ff24af620f&amp;psq=A%2fHRC%2f34%2f29&amp;u=a1aHR0cHM6Ly9kaWdpdGFsbGlicmFyeS51bi5vcmcvcmVjb3JkLzg2MDUzMy9maWxlcy9BX0hSQ18zNF8yOS1FTi5wZGY"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itednations.sharepoint.com/sites/OHCHR-HRT-MRE-ROLENDB-WRGS/NDSJ/2026/28.%20Women%20in%20Diplomacy/agda.ac.ae/docs/default-source/2025/2025-women-in-diplomacy-index-2-(1).pdf?sfvrsn=2ce2603b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F8BB-DB16-469D-9446-4910102DA417}">
  <ds:schemaRefs>
    <ds:schemaRef ds:uri="http://schemas.microsoft.com/office/2006/metadata/properties"/>
    <ds:schemaRef ds:uri="http://schemas.microsoft.com/office/infopath/2007/PartnerControls"/>
    <ds:schemaRef ds:uri="eebda7d3-fbd3-4fc2-a4cf-80344efde34f"/>
    <ds:schemaRef ds:uri="87ec5f06-3007-4c6e-888e-172eb5a8c38b"/>
  </ds:schemaRefs>
</ds:datastoreItem>
</file>

<file path=customXml/itemProps2.xml><?xml version="1.0" encoding="utf-8"?>
<ds:datastoreItem xmlns:ds="http://schemas.openxmlformats.org/officeDocument/2006/customXml" ds:itemID="{61B914A6-3BF8-4AF7-AD54-329B96DD5257}"/>
</file>

<file path=customXml/itemProps3.xml><?xml version="1.0" encoding="utf-8"?>
<ds:datastoreItem xmlns:ds="http://schemas.openxmlformats.org/officeDocument/2006/customXml" ds:itemID="{03C03234-DDD3-46CD-8659-5A2A10005EC1}">
  <ds:schemaRefs>
    <ds:schemaRef ds:uri="http://schemas.microsoft.com/sharepoint/v3/contenttype/forms"/>
  </ds:schemaRefs>
</ds:datastoreItem>
</file>

<file path=customXml/itemProps4.xml><?xml version="1.0" encoding="utf-8"?>
<ds:datastoreItem xmlns:ds="http://schemas.openxmlformats.org/officeDocument/2006/customXml" ds:itemID="{6E0E3825-0CA1-4FA2-8572-FB25335B1828}">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2255</Words>
  <Characters>12857</Characters>
  <Application>Microsoft Office Word</Application>
  <DocSecurity>0</DocSecurity>
  <Lines>107</Lines>
  <Paragraphs>30</Paragraphs>
  <ScaleCrop>false</ScaleCrop>
  <Manager/>
  <Company/>
  <LinksUpToDate>false</LinksUpToDate>
  <CharactersWithSpaces>15082</CharactersWithSpaces>
  <SharedDoc>false</SharedDoc>
  <HLinks>
    <vt:vector size="96" baseType="variant">
      <vt:variant>
        <vt:i4>3735586</vt:i4>
      </vt:variant>
      <vt:variant>
        <vt:i4>45</vt:i4>
      </vt:variant>
      <vt:variant>
        <vt:i4>0</vt:i4>
      </vt:variant>
      <vt:variant>
        <vt:i4>5</vt:i4>
      </vt:variant>
      <vt:variant>
        <vt:lpwstr>https://docs.un.org/en/A/52/38/REV.1(SUPP)</vt:lpwstr>
      </vt:variant>
      <vt:variant>
        <vt:lpwstr/>
      </vt:variant>
      <vt:variant>
        <vt:i4>8323106</vt:i4>
      </vt:variant>
      <vt:variant>
        <vt:i4>42</vt:i4>
      </vt:variant>
      <vt:variant>
        <vt:i4>0</vt:i4>
      </vt:variant>
      <vt:variant>
        <vt:i4>5</vt:i4>
      </vt:variant>
      <vt:variant>
        <vt:lpwstr>https://www.bing.com/ck/a?!&amp;&amp;p=a2946d20891e9a2a4255decd74086c483804ce585e897133a9adb9ada189395cJmltdHM9MTc3NjcyOTYwMA&amp;ptn=3&amp;ver=2&amp;hsh=4&amp;fclid=079bb70b-25df-630a-1c02-a1ff24af620f&amp;psq=A%2fHRC%2f34%2f29&amp;u=a1aHR0cHM6Ly9kaWdpdGFsbGlicmFyeS51bi5vcmcvcmVjb3JkLzg2MDUzMy9maWxlcy9BX0hSQ18zNF8yOS1FTi5wZGY</vt:lpwstr>
      </vt:variant>
      <vt:variant>
        <vt:lpwstr/>
      </vt:variant>
      <vt:variant>
        <vt:i4>458757</vt:i4>
      </vt:variant>
      <vt:variant>
        <vt:i4>39</vt:i4>
      </vt:variant>
      <vt:variant>
        <vt:i4>0</vt:i4>
      </vt:variant>
      <vt:variant>
        <vt:i4>5</vt:i4>
      </vt:variant>
      <vt:variant>
        <vt:lpwstr>https://www.undp.org/publications/global-report-gender-equality-public-administration</vt:lpwstr>
      </vt:variant>
      <vt:variant>
        <vt:lpwstr/>
      </vt:variant>
      <vt:variant>
        <vt:i4>7143466</vt:i4>
      </vt:variant>
      <vt:variant>
        <vt:i4>36</vt:i4>
      </vt:variant>
      <vt:variant>
        <vt:i4>0</vt:i4>
      </vt:variant>
      <vt:variant>
        <vt:i4>5</vt:i4>
      </vt:variant>
      <vt:variant>
        <vt:lpwstr>https://knowledge.unwomen.org/en/digital-library/publications/2026/02/women-in-the-diplomatic-corps-normative-frameworks-structural-barriers-and-policy-recommendations</vt:lpwstr>
      </vt:variant>
      <vt:variant>
        <vt:lpwstr/>
      </vt:variant>
      <vt:variant>
        <vt:i4>3735674</vt:i4>
      </vt:variant>
      <vt:variant>
        <vt:i4>33</vt:i4>
      </vt:variant>
      <vt:variant>
        <vt:i4>0</vt:i4>
      </vt:variant>
      <vt:variant>
        <vt:i4>5</vt:i4>
      </vt:variant>
      <vt:variant>
        <vt:lpwstr>https://www.ilo.org/sites/default/files/2026-04/ILC114-VI-%5BWORKQ-260122-001%5D-EN.pdf</vt:lpwstr>
      </vt:variant>
      <vt:variant>
        <vt:lpwstr/>
      </vt:variant>
      <vt:variant>
        <vt:i4>8192098</vt:i4>
      </vt:variant>
      <vt:variant>
        <vt:i4>30</vt:i4>
      </vt:variant>
      <vt:variant>
        <vt:i4>0</vt:i4>
      </vt:variant>
      <vt:variant>
        <vt:i4>5</vt:i4>
      </vt:variant>
      <vt:variant>
        <vt:lpwstr>https://docs.un.org/E/CN.6/2026/L.2</vt:lpwstr>
      </vt:variant>
      <vt:variant>
        <vt:lpwstr/>
      </vt:variant>
      <vt:variant>
        <vt:i4>983088</vt:i4>
      </vt:variant>
      <vt:variant>
        <vt:i4>27</vt:i4>
      </vt:variant>
      <vt:variant>
        <vt:i4>0</vt:i4>
      </vt:variant>
      <vt:variant>
        <vt:i4>5</vt:i4>
      </vt:variant>
      <vt:variant>
        <vt:lpwstr>https://tbinternet.ohchr.org/_layouts/15/treatybodyexternal/Download.aspx?symbolno=CEDAW%2FC%2FGC%2F40&amp;Lang=en</vt:lpwstr>
      </vt:variant>
      <vt:variant>
        <vt:lpwstr/>
      </vt:variant>
      <vt:variant>
        <vt:i4>983056</vt:i4>
      </vt:variant>
      <vt:variant>
        <vt:i4>24</vt:i4>
      </vt:variant>
      <vt:variant>
        <vt:i4>0</vt:i4>
      </vt:variant>
      <vt:variant>
        <vt:i4>5</vt:i4>
      </vt:variant>
      <vt:variant>
        <vt:lpwstr>https://www.ohchr.org/en/hr-bodies/hrc/accessibility</vt:lpwstr>
      </vt:variant>
      <vt:variant>
        <vt:lpwstr/>
      </vt:variant>
      <vt:variant>
        <vt:i4>1245259</vt:i4>
      </vt:variant>
      <vt:variant>
        <vt:i4>21</vt:i4>
      </vt:variant>
      <vt:variant>
        <vt:i4>0</vt:i4>
      </vt:variant>
      <vt:variant>
        <vt:i4>5</vt:i4>
      </vt:variant>
      <vt:variant>
        <vt:lpwstr>https://www.streamtext.net/player?event=CFI-UNOG</vt:lpwstr>
      </vt:variant>
      <vt:variant>
        <vt:lpwstr/>
      </vt:variant>
      <vt:variant>
        <vt:i4>7602229</vt:i4>
      </vt:variant>
      <vt:variant>
        <vt:i4>18</vt:i4>
      </vt:variant>
      <vt:variant>
        <vt:i4>0</vt:i4>
      </vt:variant>
      <vt:variant>
        <vt:i4>5</vt:i4>
      </vt:variant>
      <vt:variant>
        <vt:lpwstr>https://hrcmeetings.ohchr.org/HRCSessions/RegularSessions/59/Pages/default.aspx</vt:lpwstr>
      </vt:variant>
      <vt:variant>
        <vt:lpwstr/>
      </vt:variant>
      <vt:variant>
        <vt:i4>3014702</vt:i4>
      </vt:variant>
      <vt:variant>
        <vt:i4>15</vt:i4>
      </vt:variant>
      <vt:variant>
        <vt:i4>0</vt:i4>
      </vt:variant>
      <vt:variant>
        <vt:i4>5</vt:i4>
      </vt:variant>
      <vt:variant>
        <vt:lpwstr>https://unstats.un.org/unsd/gender/Data/C156 - Workers with Family Responsibilities Convention, 1981 (No. 156).pdf</vt:lpwstr>
      </vt:variant>
      <vt:variant>
        <vt:lpwstr/>
      </vt:variant>
      <vt:variant>
        <vt:i4>3801139</vt:i4>
      </vt:variant>
      <vt:variant>
        <vt:i4>12</vt:i4>
      </vt:variant>
      <vt:variant>
        <vt:i4>0</vt:i4>
      </vt:variant>
      <vt:variant>
        <vt:i4>5</vt:i4>
      </vt:variant>
      <vt:variant>
        <vt:lpwstr>https://docs.un.org/en/E/CN.6/2026/L.2</vt:lpwstr>
      </vt:variant>
      <vt:variant>
        <vt:lpwstr/>
      </vt:variant>
      <vt:variant>
        <vt:i4>6160456</vt:i4>
      </vt:variant>
      <vt:variant>
        <vt:i4>9</vt:i4>
      </vt:variant>
      <vt:variant>
        <vt:i4>0</vt:i4>
      </vt:variant>
      <vt:variant>
        <vt:i4>5</vt:i4>
      </vt:variant>
      <vt:variant>
        <vt:lpwstr>https://www.ohchr.org/en/documents/general-comments-and-recommendations/general-recommendation-no-40-equal-and-inclusive</vt:lpwstr>
      </vt:variant>
      <vt:variant>
        <vt:lpwstr/>
      </vt:variant>
      <vt:variant>
        <vt:i4>3801214</vt:i4>
      </vt:variant>
      <vt:variant>
        <vt:i4>6</vt:i4>
      </vt:variant>
      <vt:variant>
        <vt:i4>0</vt:i4>
      </vt:variant>
      <vt:variant>
        <vt:i4>5</vt:i4>
      </vt:variant>
      <vt:variant>
        <vt:lpwstr>https://docs.un.org/A/HRC/RES/58/15</vt:lpwstr>
      </vt:variant>
      <vt:variant>
        <vt:lpwstr/>
      </vt:variant>
      <vt:variant>
        <vt:i4>3080234</vt:i4>
      </vt:variant>
      <vt:variant>
        <vt:i4>3</vt:i4>
      </vt:variant>
      <vt:variant>
        <vt:i4>0</vt:i4>
      </vt:variant>
      <vt:variant>
        <vt:i4>5</vt:i4>
      </vt:variant>
      <vt:variant>
        <vt:lpwstr>https://ap.ohchr.org/documents/E/HRC/resolutions/A_HRC_RES_6_30.pdf</vt:lpwstr>
      </vt:variant>
      <vt:variant>
        <vt:lpwstr/>
      </vt:variant>
      <vt:variant>
        <vt:i4>4718602</vt:i4>
      </vt:variant>
      <vt:variant>
        <vt:i4>0</vt:i4>
      </vt:variant>
      <vt:variant>
        <vt:i4>0</vt:i4>
      </vt:variant>
      <vt:variant>
        <vt:i4>5</vt:i4>
      </vt:variant>
      <vt:variant>
        <vt:lpwstr>https://webtv.un.org/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Brouwer</dc:creator>
  <cp:keywords/>
  <cp:lastModifiedBy>Fei Xing</cp:lastModifiedBy>
  <cp:revision>3</cp:revision>
  <cp:lastPrinted>2016-01-31T16:13:00Z</cp:lastPrinted>
  <dcterms:created xsi:type="dcterms:W3CDTF">2026-06-23T07:00:00Z</dcterms:created>
  <dcterms:modified xsi:type="dcterms:W3CDTF">2026-06-23T07:02:00Z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0x0101007FBCFF5D924FA24CB40DA797A410D0A8</vt:lpwstr>
  </property>
</Properties>
</file>