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213B" w14:textId="11380ED3" w:rsidR="00DB2AE7" w:rsidRPr="001A2842" w:rsidRDefault="00DB2AE7" w:rsidP="00813443">
      <w:pPr>
        <w:spacing w:after="120" w:line="240" w:lineRule="auto"/>
        <w:jc w:val="center"/>
        <w:rPr>
          <w:rFonts w:ascii="Calibri" w:hAnsi="Calibri" w:cs="Calibri"/>
          <w:b/>
          <w:sz w:val="22"/>
          <w:szCs w:val="22"/>
        </w:rPr>
      </w:pPr>
      <w:r w:rsidRPr="001A2842">
        <w:rPr>
          <w:rFonts w:ascii="Calibri" w:hAnsi="Calibri" w:cs="Calibri"/>
          <w:b/>
          <w:sz w:val="22"/>
          <w:szCs w:val="22"/>
        </w:rPr>
        <w:t>6</w:t>
      </w:r>
      <w:r w:rsidR="00510255">
        <w:rPr>
          <w:rFonts w:ascii="Calibri" w:hAnsi="Calibri" w:cs="Calibri"/>
          <w:b/>
          <w:sz w:val="22"/>
          <w:szCs w:val="22"/>
        </w:rPr>
        <w:t>1st</w:t>
      </w:r>
      <w:r w:rsidRPr="001A2842">
        <w:rPr>
          <w:rFonts w:ascii="Calibri" w:hAnsi="Calibri" w:cs="Calibri"/>
          <w:b/>
          <w:sz w:val="22"/>
          <w:szCs w:val="22"/>
        </w:rPr>
        <w:t xml:space="preserve"> session of the Human Rights Council</w:t>
      </w:r>
    </w:p>
    <w:p w14:paraId="541EC230" w14:textId="77777777" w:rsidR="0003658A" w:rsidRPr="0003658A" w:rsidRDefault="0003658A" w:rsidP="00813443">
      <w:pPr>
        <w:spacing w:line="240" w:lineRule="auto"/>
        <w:jc w:val="center"/>
        <w:rPr>
          <w:rFonts w:ascii="Calibri" w:hAnsi="Calibri" w:cs="Calibri"/>
          <w:b/>
          <w:bCs/>
          <w:sz w:val="26"/>
          <w:szCs w:val="26"/>
          <w:lang w:val="en-US"/>
        </w:rPr>
      </w:pPr>
      <w:bookmarkStart w:id="0" w:name="_Hlk135211962"/>
      <w:r w:rsidRPr="0003658A">
        <w:rPr>
          <w:rFonts w:ascii="Calibri" w:hAnsi="Calibri" w:cs="Calibri"/>
          <w:b/>
          <w:bCs/>
          <w:sz w:val="26"/>
          <w:szCs w:val="26"/>
          <w:lang w:val="en-US"/>
        </w:rPr>
        <w:t>Panel discussion on human rights and a culture of peace</w:t>
      </w:r>
    </w:p>
    <w:bookmarkEnd w:id="0"/>
    <w:p w14:paraId="2D4B97B6" w14:textId="5B052B2D" w:rsidR="00ED131A" w:rsidRPr="001A2842" w:rsidRDefault="00461A61" w:rsidP="00813443">
      <w:pPr>
        <w:spacing w:line="240" w:lineRule="auto"/>
        <w:jc w:val="center"/>
        <w:rPr>
          <w:rFonts w:ascii="Calibri" w:hAnsi="Calibri" w:cs="Calibri"/>
          <w:b/>
          <w:bCs/>
          <w:sz w:val="22"/>
          <w:szCs w:val="22"/>
        </w:rPr>
      </w:pPr>
      <w:r w:rsidRPr="001A2842">
        <w:rPr>
          <w:rFonts w:ascii="Calibri" w:hAnsi="Calibri" w:cs="Calibri"/>
          <w:i/>
          <w:sz w:val="22"/>
          <w:szCs w:val="22"/>
        </w:rPr>
        <w:t>C</w:t>
      </w:r>
      <w:r w:rsidR="00DB2AE7" w:rsidRPr="001A2842">
        <w:rPr>
          <w:rFonts w:ascii="Calibri" w:hAnsi="Calibri" w:cs="Calibri"/>
          <w:i/>
          <w:sz w:val="22"/>
          <w:szCs w:val="22"/>
        </w:rPr>
        <w:t>oncept note</w:t>
      </w:r>
      <w:r w:rsidR="00724E46" w:rsidRPr="001A2842">
        <w:rPr>
          <w:rFonts w:ascii="Calibri" w:hAnsi="Calibri" w:cs="Calibri"/>
          <w:i/>
          <w:sz w:val="22"/>
          <w:szCs w:val="22"/>
        </w:rPr>
        <w:t xml:space="preserve"> </w:t>
      </w:r>
      <w:r w:rsidR="00ED131A" w:rsidRPr="001A2842">
        <w:rPr>
          <w:rFonts w:ascii="Calibri" w:hAnsi="Calibri" w:cs="Calibri"/>
          <w:i/>
          <w:sz w:val="22"/>
          <w:szCs w:val="22"/>
        </w:rPr>
        <w:t>(</w:t>
      </w:r>
      <w:r w:rsidRPr="001A2842">
        <w:rPr>
          <w:rFonts w:ascii="Calibri" w:hAnsi="Calibri" w:cs="Calibri"/>
          <w:i/>
          <w:sz w:val="22"/>
          <w:szCs w:val="22"/>
        </w:rPr>
        <w:t>a</w:t>
      </w:r>
      <w:r w:rsidR="00ED131A" w:rsidRPr="001A2842">
        <w:rPr>
          <w:rFonts w:ascii="Calibri" w:hAnsi="Calibri" w:cs="Calibri"/>
          <w:i/>
          <w:sz w:val="22"/>
          <w:szCs w:val="22"/>
        </w:rPr>
        <w:t xml:space="preserve">s of </w:t>
      </w:r>
      <w:r w:rsidR="00E61651">
        <w:rPr>
          <w:rFonts w:ascii="Calibri" w:hAnsi="Calibri" w:cs="Calibri"/>
          <w:i/>
          <w:sz w:val="22"/>
          <w:szCs w:val="22"/>
        </w:rPr>
        <w:t>1</w:t>
      </w:r>
      <w:r w:rsidR="002501DF">
        <w:rPr>
          <w:rFonts w:ascii="Calibri" w:hAnsi="Calibri" w:cs="Calibri"/>
          <w:i/>
          <w:sz w:val="22"/>
          <w:szCs w:val="22"/>
        </w:rPr>
        <w:t>9</w:t>
      </w:r>
      <w:r w:rsidR="00590881">
        <w:rPr>
          <w:rFonts w:ascii="Calibri" w:hAnsi="Calibri" w:cs="Calibri"/>
          <w:i/>
          <w:sz w:val="22"/>
          <w:szCs w:val="22"/>
        </w:rPr>
        <w:t xml:space="preserve"> February</w:t>
      </w:r>
      <w:r w:rsidR="00252695">
        <w:rPr>
          <w:rFonts w:ascii="Calibri" w:hAnsi="Calibri" w:cs="Calibri"/>
          <w:i/>
          <w:sz w:val="22"/>
          <w:szCs w:val="22"/>
        </w:rPr>
        <w:t xml:space="preserve"> </w:t>
      </w:r>
      <w:r w:rsidR="009C6749" w:rsidRPr="001A2842">
        <w:rPr>
          <w:rFonts w:ascii="Calibri" w:hAnsi="Calibri" w:cs="Calibri"/>
          <w:i/>
          <w:sz w:val="22"/>
          <w:szCs w:val="22"/>
        </w:rPr>
        <w:t>202</w:t>
      </w:r>
      <w:r w:rsidR="0003658A">
        <w:rPr>
          <w:rFonts w:ascii="Calibri" w:hAnsi="Calibri" w:cs="Calibri"/>
          <w:i/>
          <w:sz w:val="22"/>
          <w:szCs w:val="22"/>
        </w:rPr>
        <w:t>6</w:t>
      </w:r>
      <w:r w:rsidR="00ED131A" w:rsidRPr="001A2842">
        <w:rPr>
          <w:rFonts w:ascii="Calibri" w:hAnsi="Calibri" w:cs="Calibri"/>
          <w:i/>
          <w:sz w:val="22"/>
          <w:szCs w:val="22"/>
        </w:rPr>
        <w:t>)</w:t>
      </w:r>
    </w:p>
    <w:tbl>
      <w:tblPr>
        <w:tblW w:w="10206" w:type="dxa"/>
        <w:tblInd w:w="-459" w:type="dxa"/>
        <w:tblLook w:val="04A0" w:firstRow="1" w:lastRow="0" w:firstColumn="1" w:lastColumn="0" w:noHBand="0" w:noVBand="1"/>
      </w:tblPr>
      <w:tblGrid>
        <w:gridCol w:w="1616"/>
        <w:gridCol w:w="8590"/>
      </w:tblGrid>
      <w:tr w:rsidR="00DB2AE7" w:rsidRPr="00673AC0" w14:paraId="587637FE" w14:textId="77777777">
        <w:tc>
          <w:tcPr>
            <w:tcW w:w="1616" w:type="dxa"/>
          </w:tcPr>
          <w:p w14:paraId="0D4F1E79" w14:textId="77777777" w:rsidR="00DB2AE7" w:rsidRPr="00673AC0" w:rsidRDefault="00DB2AE7" w:rsidP="00813443">
            <w:pPr>
              <w:spacing w:line="240" w:lineRule="auto"/>
              <w:rPr>
                <w:rFonts w:ascii="Calibri" w:hAnsi="Calibri" w:cs="Calibri"/>
                <w:b/>
                <w:sz w:val="22"/>
                <w:szCs w:val="22"/>
              </w:rPr>
            </w:pPr>
            <w:r w:rsidRPr="00673AC0">
              <w:rPr>
                <w:rFonts w:ascii="Calibri" w:hAnsi="Calibri" w:cs="Calibri"/>
                <w:b/>
                <w:sz w:val="22"/>
                <w:szCs w:val="22"/>
              </w:rPr>
              <w:t>Date and venue:</w:t>
            </w:r>
          </w:p>
        </w:tc>
        <w:tc>
          <w:tcPr>
            <w:tcW w:w="8590" w:type="dxa"/>
          </w:tcPr>
          <w:p w14:paraId="79B07853" w14:textId="69FF21D1" w:rsidR="007247F2" w:rsidRPr="00B70D02" w:rsidRDefault="0003658A" w:rsidP="00813443">
            <w:pPr>
              <w:spacing w:after="0" w:line="240" w:lineRule="auto"/>
              <w:rPr>
                <w:rFonts w:ascii="Calibri" w:hAnsi="Calibri" w:cs="Calibri"/>
                <w:b/>
                <w:bCs/>
                <w:sz w:val="22"/>
                <w:szCs w:val="22"/>
              </w:rPr>
            </w:pPr>
            <w:r>
              <w:rPr>
                <w:rFonts w:ascii="Calibri" w:hAnsi="Calibri" w:cs="Calibri"/>
                <w:b/>
                <w:bCs/>
                <w:sz w:val="22"/>
                <w:szCs w:val="22"/>
              </w:rPr>
              <w:t>Wednesday</w:t>
            </w:r>
            <w:r w:rsidR="00431556">
              <w:rPr>
                <w:rFonts w:ascii="Calibri" w:hAnsi="Calibri" w:cs="Calibri"/>
                <w:b/>
                <w:bCs/>
                <w:sz w:val="22"/>
                <w:szCs w:val="22"/>
              </w:rPr>
              <w:t>,</w:t>
            </w:r>
            <w:r>
              <w:rPr>
                <w:rFonts w:ascii="Calibri" w:hAnsi="Calibri" w:cs="Calibri"/>
                <w:b/>
                <w:bCs/>
                <w:sz w:val="22"/>
                <w:szCs w:val="22"/>
              </w:rPr>
              <w:t xml:space="preserve"> 4 </w:t>
            </w:r>
            <w:r w:rsidRPr="00B70D02">
              <w:rPr>
                <w:rFonts w:ascii="Calibri" w:hAnsi="Calibri" w:cs="Calibri"/>
                <w:b/>
                <w:bCs/>
                <w:sz w:val="22"/>
                <w:szCs w:val="22"/>
              </w:rPr>
              <w:t>March 2026</w:t>
            </w:r>
            <w:r w:rsidR="0086664F" w:rsidRPr="00B70D02">
              <w:rPr>
                <w:rFonts w:ascii="Calibri" w:hAnsi="Calibri" w:cs="Calibri"/>
                <w:b/>
                <w:bCs/>
                <w:sz w:val="22"/>
                <w:szCs w:val="22"/>
              </w:rPr>
              <w:t xml:space="preserve">, </w:t>
            </w:r>
            <w:r w:rsidR="00AA2446" w:rsidRPr="00B70D02">
              <w:rPr>
                <w:rFonts w:ascii="Calibri" w:hAnsi="Calibri" w:cs="Calibri"/>
                <w:b/>
                <w:bCs/>
                <w:sz w:val="22"/>
                <w:szCs w:val="22"/>
              </w:rPr>
              <w:t>2.</w:t>
            </w:r>
            <w:r w:rsidRPr="00B70D02">
              <w:rPr>
                <w:rFonts w:ascii="Calibri" w:hAnsi="Calibri" w:cs="Calibri"/>
                <w:b/>
                <w:bCs/>
                <w:sz w:val="22"/>
                <w:szCs w:val="22"/>
              </w:rPr>
              <w:t>3</w:t>
            </w:r>
            <w:r w:rsidR="00AA2446" w:rsidRPr="00B70D02">
              <w:rPr>
                <w:rFonts w:ascii="Calibri" w:hAnsi="Calibri" w:cs="Calibri"/>
                <w:b/>
                <w:bCs/>
                <w:sz w:val="22"/>
                <w:szCs w:val="22"/>
              </w:rPr>
              <w:t>0</w:t>
            </w:r>
            <w:r w:rsidR="00B70D02" w:rsidRPr="00590881">
              <w:rPr>
                <w:rFonts w:ascii="Calibri" w:hAnsi="Calibri" w:cs="Calibri"/>
                <w:b/>
                <w:bCs/>
                <w:sz w:val="22"/>
                <w:szCs w:val="22"/>
              </w:rPr>
              <w:t>–4.30</w:t>
            </w:r>
            <w:r w:rsidR="00652508" w:rsidRPr="00B70D02">
              <w:rPr>
                <w:rFonts w:ascii="Calibri" w:hAnsi="Calibri" w:cs="Calibri"/>
                <w:b/>
                <w:bCs/>
                <w:sz w:val="22"/>
                <w:szCs w:val="22"/>
              </w:rPr>
              <w:t xml:space="preserve"> p.m.</w:t>
            </w:r>
          </w:p>
          <w:p w14:paraId="2F023BFC" w14:textId="77777777" w:rsidR="003D7A7A" w:rsidRPr="00673AC0" w:rsidRDefault="00414B82" w:rsidP="00813443">
            <w:pPr>
              <w:spacing w:after="0" w:line="240" w:lineRule="auto"/>
              <w:rPr>
                <w:rFonts w:ascii="Calibri" w:hAnsi="Calibri" w:cs="Calibri"/>
                <w:b/>
                <w:bCs/>
                <w:sz w:val="22"/>
                <w:szCs w:val="22"/>
              </w:rPr>
            </w:pPr>
            <w:r w:rsidRPr="00673AC0">
              <w:rPr>
                <w:rFonts w:ascii="Calibri" w:hAnsi="Calibri" w:cs="Calibri"/>
                <w:b/>
                <w:bCs/>
                <w:sz w:val="22"/>
                <w:szCs w:val="22"/>
              </w:rPr>
              <w:t>Assembly Hall</w:t>
            </w:r>
            <w:r w:rsidR="00461A61" w:rsidRPr="00673AC0">
              <w:rPr>
                <w:rFonts w:ascii="Calibri" w:hAnsi="Calibri" w:cs="Calibri"/>
                <w:b/>
                <w:bCs/>
                <w:sz w:val="22"/>
                <w:szCs w:val="22"/>
              </w:rPr>
              <w:t>,</w:t>
            </w:r>
            <w:r w:rsidR="00081F1D" w:rsidRPr="00673AC0">
              <w:rPr>
                <w:rFonts w:ascii="Calibri" w:hAnsi="Calibri" w:cs="Calibri"/>
                <w:b/>
                <w:bCs/>
                <w:sz w:val="22"/>
                <w:szCs w:val="22"/>
              </w:rPr>
              <w:t xml:space="preserve"> Palais des Nations</w:t>
            </w:r>
            <w:r w:rsidR="00461A61" w:rsidRPr="00673AC0">
              <w:rPr>
                <w:rFonts w:ascii="Calibri" w:hAnsi="Calibri" w:cs="Calibri"/>
                <w:b/>
                <w:bCs/>
                <w:sz w:val="22"/>
                <w:szCs w:val="22"/>
              </w:rPr>
              <w:t>, Geneva</w:t>
            </w:r>
          </w:p>
          <w:p w14:paraId="46FFA553" w14:textId="4234701E" w:rsidR="008C236C" w:rsidRPr="00673AC0" w:rsidRDefault="008C236C" w:rsidP="00813443">
            <w:pPr>
              <w:spacing w:after="120" w:line="240" w:lineRule="auto"/>
              <w:rPr>
                <w:rFonts w:ascii="Calibri" w:hAnsi="Calibri" w:cs="Calibri"/>
                <w:b/>
                <w:bCs/>
                <w:sz w:val="22"/>
                <w:szCs w:val="22"/>
              </w:rPr>
            </w:pPr>
            <w:r w:rsidRPr="00673AC0">
              <w:rPr>
                <w:rFonts w:ascii="Calibri" w:hAnsi="Calibri" w:cs="Calibri"/>
                <w:i/>
                <w:sz w:val="22"/>
                <w:szCs w:val="22"/>
              </w:rPr>
              <w:t xml:space="preserve">(broadcast live and archived at </w:t>
            </w:r>
            <w:hyperlink r:id="rId11" w:history="1">
              <w:r w:rsidRPr="00673AC0">
                <w:rPr>
                  <w:rStyle w:val="Hyperlink"/>
                  <w:rFonts w:ascii="Calibri" w:hAnsi="Calibri" w:cs="Calibri"/>
                  <w:i/>
                  <w:sz w:val="22"/>
                  <w:szCs w:val="22"/>
                </w:rPr>
                <w:t>https://webtv.un.org</w:t>
              </w:r>
            </w:hyperlink>
            <w:r w:rsidRPr="00EF6067">
              <w:rPr>
                <w:rStyle w:val="Hyperlink"/>
                <w:rFonts w:ascii="Calibri" w:hAnsi="Calibri" w:cs="Calibri"/>
                <w:i/>
                <w:color w:val="000000" w:themeColor="text1"/>
                <w:sz w:val="22"/>
                <w:szCs w:val="22"/>
                <w:u w:val="none"/>
              </w:rPr>
              <w:t>)</w:t>
            </w:r>
          </w:p>
        </w:tc>
      </w:tr>
      <w:tr w:rsidR="00DB2AE7" w:rsidRPr="001A2842" w14:paraId="72004A73" w14:textId="77777777">
        <w:tc>
          <w:tcPr>
            <w:tcW w:w="1616" w:type="dxa"/>
          </w:tcPr>
          <w:p w14:paraId="4A4EF91E" w14:textId="358D856D" w:rsidR="00DB2AE7" w:rsidRPr="001A2842" w:rsidRDefault="00DB2AE7" w:rsidP="00813443">
            <w:pPr>
              <w:spacing w:line="240" w:lineRule="auto"/>
              <w:rPr>
                <w:rFonts w:ascii="Calibri" w:hAnsi="Calibri" w:cs="Calibri"/>
                <w:b/>
                <w:sz w:val="22"/>
                <w:szCs w:val="22"/>
              </w:rPr>
            </w:pPr>
            <w:r w:rsidRPr="001A2842">
              <w:rPr>
                <w:rFonts w:ascii="Calibri" w:hAnsi="Calibri" w:cs="Calibri"/>
                <w:b/>
                <w:sz w:val="22"/>
                <w:szCs w:val="22"/>
              </w:rPr>
              <w:t>Objective</w:t>
            </w:r>
            <w:r w:rsidR="00DA4900">
              <w:rPr>
                <w:rFonts w:ascii="Calibri" w:hAnsi="Calibri" w:cs="Calibri"/>
                <w:b/>
                <w:sz w:val="22"/>
                <w:szCs w:val="22"/>
              </w:rPr>
              <w:t>s</w:t>
            </w:r>
            <w:r w:rsidRPr="001A2842">
              <w:rPr>
                <w:rFonts w:ascii="Calibri" w:hAnsi="Calibri" w:cs="Calibri"/>
                <w:b/>
                <w:sz w:val="22"/>
                <w:szCs w:val="22"/>
              </w:rPr>
              <w:t>:</w:t>
            </w:r>
          </w:p>
        </w:tc>
        <w:tc>
          <w:tcPr>
            <w:tcW w:w="8590" w:type="dxa"/>
          </w:tcPr>
          <w:p w14:paraId="663C2BF3" w14:textId="70BE013E" w:rsidR="00DB2AE7" w:rsidRPr="0003658A" w:rsidRDefault="0003658A" w:rsidP="00813443">
            <w:pPr>
              <w:spacing w:after="120" w:line="240" w:lineRule="auto"/>
              <w:rPr>
                <w:rFonts w:ascii="Calibri" w:hAnsi="Calibri" w:cs="Calibri"/>
                <w:bCs/>
                <w:sz w:val="22"/>
                <w:szCs w:val="22"/>
                <w:lang w:val="en-US"/>
              </w:rPr>
            </w:pPr>
            <w:r w:rsidRPr="0003658A">
              <w:rPr>
                <w:rFonts w:ascii="Calibri" w:hAnsi="Calibri" w:cs="Calibri"/>
                <w:bCs/>
                <w:sz w:val="22"/>
                <w:szCs w:val="22"/>
                <w:lang w:val="en-US"/>
              </w:rPr>
              <w:t>The panel discussion will provide an opportunity</w:t>
            </w:r>
            <w:r w:rsidR="0067087F" w:rsidRPr="001A2842">
              <w:rPr>
                <w:rFonts w:ascii="Calibri" w:hAnsi="Calibri" w:cs="Calibri"/>
                <w:bCs/>
                <w:sz w:val="22"/>
                <w:szCs w:val="22"/>
              </w:rPr>
              <w:t>:</w:t>
            </w:r>
          </w:p>
          <w:p w14:paraId="413EB417" w14:textId="49FE955A" w:rsidR="0003658A" w:rsidRPr="0003658A" w:rsidRDefault="00C829D8" w:rsidP="00813443">
            <w:pPr>
              <w:pStyle w:val="ListParagraph"/>
              <w:numPr>
                <w:ilvl w:val="0"/>
                <w:numId w:val="3"/>
              </w:numPr>
              <w:spacing w:after="80" w:line="240" w:lineRule="auto"/>
              <w:ind w:left="374" w:hanging="363"/>
              <w:jc w:val="both"/>
              <w:rPr>
                <w:rFonts w:ascii="Calibri" w:hAnsi="Calibri" w:cs="Calibri"/>
                <w:sz w:val="22"/>
                <w:szCs w:val="22"/>
                <w:lang w:val="en-US"/>
              </w:rPr>
            </w:pPr>
            <w:r>
              <w:rPr>
                <w:rFonts w:ascii="Calibri" w:hAnsi="Calibri" w:cs="Calibri"/>
                <w:sz w:val="22"/>
                <w:szCs w:val="22"/>
                <w:lang w:val="en-US"/>
              </w:rPr>
              <w:t>To e</w:t>
            </w:r>
            <w:r w:rsidR="0003658A" w:rsidRPr="0003658A">
              <w:rPr>
                <w:rFonts w:ascii="Calibri" w:hAnsi="Calibri" w:cs="Calibri"/>
                <w:sz w:val="22"/>
                <w:szCs w:val="22"/>
                <w:lang w:val="en-US"/>
              </w:rPr>
              <w:t xml:space="preserve">xamine how human rights-based approaches can reinforce a culture of peace through their preventive, trust-building and peacemaking </w:t>
            </w:r>
            <w:proofErr w:type="gramStart"/>
            <w:r w:rsidR="0003658A" w:rsidRPr="0003658A">
              <w:rPr>
                <w:rFonts w:ascii="Calibri" w:hAnsi="Calibri" w:cs="Calibri"/>
                <w:sz w:val="22"/>
                <w:szCs w:val="22"/>
                <w:lang w:val="en-US"/>
              </w:rPr>
              <w:t>effects</w:t>
            </w:r>
            <w:r>
              <w:rPr>
                <w:rFonts w:ascii="Calibri" w:hAnsi="Calibri" w:cs="Calibri"/>
                <w:sz w:val="22"/>
                <w:szCs w:val="22"/>
                <w:lang w:val="en-US"/>
              </w:rPr>
              <w:t>;</w:t>
            </w:r>
            <w:proofErr w:type="gramEnd"/>
          </w:p>
          <w:p w14:paraId="4BA43EBE" w14:textId="77D155BC" w:rsidR="0003658A" w:rsidRPr="0003658A" w:rsidRDefault="00C829D8" w:rsidP="00813443">
            <w:pPr>
              <w:pStyle w:val="ListParagraph"/>
              <w:numPr>
                <w:ilvl w:val="0"/>
                <w:numId w:val="3"/>
              </w:numPr>
              <w:spacing w:after="80" w:line="240" w:lineRule="auto"/>
              <w:ind w:left="374" w:hanging="363"/>
              <w:jc w:val="both"/>
              <w:rPr>
                <w:rFonts w:ascii="Calibri" w:hAnsi="Calibri" w:cs="Calibri"/>
                <w:sz w:val="22"/>
                <w:szCs w:val="22"/>
                <w:lang w:val="en-US"/>
              </w:rPr>
            </w:pPr>
            <w:r>
              <w:rPr>
                <w:rFonts w:ascii="Calibri" w:hAnsi="Calibri" w:cs="Calibri"/>
                <w:sz w:val="22"/>
                <w:szCs w:val="22"/>
              </w:rPr>
              <w:t>To r</w:t>
            </w:r>
            <w:r w:rsidR="0003658A" w:rsidRPr="0003658A">
              <w:rPr>
                <w:rFonts w:ascii="Calibri" w:hAnsi="Calibri" w:cs="Calibri"/>
                <w:sz w:val="22"/>
                <w:szCs w:val="22"/>
              </w:rPr>
              <w:t>eflect on ways to support States in leading efforts to advance a culture of peace at the global, regional and national levels and examine how the U</w:t>
            </w:r>
            <w:r w:rsidR="00FD2D07">
              <w:rPr>
                <w:rFonts w:ascii="Calibri" w:hAnsi="Calibri" w:cs="Calibri"/>
                <w:sz w:val="22"/>
                <w:szCs w:val="22"/>
              </w:rPr>
              <w:t xml:space="preserve">nited </w:t>
            </w:r>
            <w:r w:rsidR="0003658A" w:rsidRPr="0003658A">
              <w:rPr>
                <w:rFonts w:ascii="Calibri" w:hAnsi="Calibri" w:cs="Calibri"/>
                <w:sz w:val="22"/>
                <w:szCs w:val="22"/>
              </w:rPr>
              <w:t>N</w:t>
            </w:r>
            <w:r w:rsidR="00FD2D07">
              <w:rPr>
                <w:rFonts w:ascii="Calibri" w:hAnsi="Calibri" w:cs="Calibri"/>
                <w:sz w:val="22"/>
                <w:szCs w:val="22"/>
              </w:rPr>
              <w:t>ations</w:t>
            </w:r>
            <w:r w:rsidR="0003658A" w:rsidRPr="0003658A">
              <w:rPr>
                <w:rFonts w:ascii="Calibri" w:hAnsi="Calibri" w:cs="Calibri"/>
                <w:sz w:val="22"/>
                <w:szCs w:val="22"/>
              </w:rPr>
              <w:t xml:space="preserve"> system can align its cooperation with national strategies for prevention, peacebuilding, dialogue and </w:t>
            </w:r>
            <w:proofErr w:type="gramStart"/>
            <w:r w:rsidR="0003658A" w:rsidRPr="0003658A">
              <w:rPr>
                <w:rFonts w:ascii="Calibri" w:hAnsi="Calibri" w:cs="Calibri"/>
                <w:sz w:val="22"/>
                <w:szCs w:val="22"/>
              </w:rPr>
              <w:t>mediation</w:t>
            </w:r>
            <w:r>
              <w:rPr>
                <w:rFonts w:asciiTheme="majorBidi" w:eastAsia="Times New Roman" w:hAnsiTheme="majorBidi" w:cstheme="majorBidi"/>
                <w:kern w:val="0"/>
                <w:sz w:val="23"/>
                <w:szCs w:val="23"/>
                <w:lang w:val="en-US"/>
                <w14:ligatures w14:val="none"/>
              </w:rPr>
              <w:t>;</w:t>
            </w:r>
            <w:proofErr w:type="gramEnd"/>
          </w:p>
          <w:p w14:paraId="72C4FB44" w14:textId="2066317D" w:rsidR="0003658A" w:rsidRPr="0003658A" w:rsidRDefault="00C829D8" w:rsidP="00813443">
            <w:pPr>
              <w:pStyle w:val="ListParagraph"/>
              <w:numPr>
                <w:ilvl w:val="0"/>
                <w:numId w:val="3"/>
              </w:numPr>
              <w:spacing w:after="80" w:line="240" w:lineRule="auto"/>
              <w:ind w:left="374" w:hanging="363"/>
              <w:jc w:val="both"/>
              <w:rPr>
                <w:rFonts w:ascii="Calibri" w:hAnsi="Calibri" w:cs="Calibri"/>
                <w:sz w:val="22"/>
                <w:szCs w:val="22"/>
                <w:lang w:val="en-US"/>
              </w:rPr>
            </w:pPr>
            <w:r>
              <w:rPr>
                <w:rFonts w:ascii="Calibri" w:hAnsi="Calibri" w:cs="Calibri"/>
                <w:sz w:val="22"/>
                <w:szCs w:val="22"/>
                <w:lang w:val="en-US"/>
              </w:rPr>
              <w:t>To f</w:t>
            </w:r>
            <w:r w:rsidR="0003658A" w:rsidRPr="0003658A">
              <w:rPr>
                <w:rFonts w:ascii="Calibri" w:hAnsi="Calibri" w:cs="Calibri"/>
                <w:sz w:val="22"/>
                <w:szCs w:val="22"/>
                <w:lang w:val="en-US"/>
              </w:rPr>
              <w:t xml:space="preserve">acilitate the sharing of experiences, good practices, challenges and lessons learned on approaches through which the protection and promotion of human rights support the development and strengthening of a culture of </w:t>
            </w:r>
            <w:proofErr w:type="gramStart"/>
            <w:r w:rsidR="0003658A" w:rsidRPr="0003658A">
              <w:rPr>
                <w:rFonts w:ascii="Calibri" w:hAnsi="Calibri" w:cs="Calibri"/>
                <w:sz w:val="22"/>
                <w:szCs w:val="22"/>
                <w:lang w:val="en-US"/>
              </w:rPr>
              <w:t>peace</w:t>
            </w:r>
            <w:r>
              <w:rPr>
                <w:rFonts w:ascii="Calibri" w:hAnsi="Calibri" w:cs="Calibri"/>
                <w:sz w:val="22"/>
                <w:szCs w:val="22"/>
                <w:lang w:val="en-US"/>
              </w:rPr>
              <w:t>;</w:t>
            </w:r>
            <w:proofErr w:type="gramEnd"/>
          </w:p>
          <w:p w14:paraId="0CCF97BB" w14:textId="0B8557B0" w:rsidR="0003658A" w:rsidRPr="0003658A" w:rsidRDefault="00C829D8" w:rsidP="00813443">
            <w:pPr>
              <w:pStyle w:val="ListParagraph"/>
              <w:numPr>
                <w:ilvl w:val="0"/>
                <w:numId w:val="3"/>
              </w:numPr>
              <w:spacing w:after="80" w:line="240" w:lineRule="auto"/>
              <w:ind w:left="374" w:hanging="363"/>
              <w:jc w:val="both"/>
              <w:rPr>
                <w:rFonts w:ascii="Calibri" w:hAnsi="Calibri" w:cs="Calibri"/>
                <w:sz w:val="22"/>
                <w:szCs w:val="22"/>
                <w:lang w:val="en-US"/>
              </w:rPr>
            </w:pPr>
            <w:r>
              <w:rPr>
                <w:rFonts w:ascii="Calibri" w:hAnsi="Calibri" w:cs="Calibri"/>
                <w:sz w:val="22"/>
                <w:szCs w:val="22"/>
                <w:lang w:val="en-US"/>
              </w:rPr>
              <w:t>To e</w:t>
            </w:r>
            <w:r w:rsidR="0003658A" w:rsidRPr="0003658A">
              <w:rPr>
                <w:rFonts w:ascii="Calibri" w:hAnsi="Calibri" w:cs="Calibri"/>
                <w:sz w:val="22"/>
                <w:szCs w:val="22"/>
                <w:lang w:val="en-US"/>
              </w:rPr>
              <w:t>xplore concrete pathways for future action and identify innovative partnerships and tools that can sustain a culture of peace over the long term.</w:t>
            </w:r>
          </w:p>
          <w:p w14:paraId="52B7D8AD" w14:textId="31D9A2DC" w:rsidR="0067087F" w:rsidRPr="001A2842" w:rsidRDefault="0067087F" w:rsidP="00813443">
            <w:pPr>
              <w:pStyle w:val="ListParagraph"/>
              <w:spacing w:after="0" w:line="240" w:lineRule="auto"/>
              <w:ind w:left="374"/>
              <w:contextualSpacing w:val="0"/>
              <w:rPr>
                <w:rFonts w:ascii="Calibri" w:hAnsi="Calibri" w:cs="Calibri"/>
                <w:sz w:val="22"/>
                <w:szCs w:val="22"/>
              </w:rPr>
            </w:pPr>
          </w:p>
        </w:tc>
      </w:tr>
      <w:tr w:rsidR="00DB2AE7" w:rsidRPr="001A2842" w14:paraId="320804BE" w14:textId="77777777">
        <w:tc>
          <w:tcPr>
            <w:tcW w:w="1616" w:type="dxa"/>
          </w:tcPr>
          <w:p w14:paraId="1035034F" w14:textId="77777777" w:rsidR="00DB2AE7" w:rsidRPr="001A2842" w:rsidRDefault="00DB2AE7" w:rsidP="00813443">
            <w:pPr>
              <w:spacing w:after="120" w:line="240" w:lineRule="auto"/>
              <w:rPr>
                <w:rFonts w:ascii="Calibri" w:hAnsi="Calibri" w:cs="Calibri"/>
                <w:b/>
                <w:sz w:val="22"/>
                <w:szCs w:val="22"/>
              </w:rPr>
            </w:pPr>
            <w:r w:rsidRPr="001A2842">
              <w:rPr>
                <w:rFonts w:ascii="Calibri" w:hAnsi="Calibri" w:cs="Calibri"/>
                <w:b/>
                <w:sz w:val="22"/>
                <w:szCs w:val="22"/>
              </w:rPr>
              <w:t xml:space="preserve">Chair: </w:t>
            </w:r>
          </w:p>
        </w:tc>
        <w:tc>
          <w:tcPr>
            <w:tcW w:w="8590" w:type="dxa"/>
          </w:tcPr>
          <w:p w14:paraId="5CCCA5F8" w14:textId="5ED9FE08" w:rsidR="00DB2AE7" w:rsidRPr="00590881" w:rsidRDefault="0003658A" w:rsidP="00813443">
            <w:pPr>
              <w:spacing w:after="120" w:line="240" w:lineRule="auto"/>
              <w:rPr>
                <w:rFonts w:ascii="Calibri" w:hAnsi="Calibri" w:cs="Calibri"/>
                <w:sz w:val="22"/>
                <w:szCs w:val="22"/>
              </w:rPr>
            </w:pPr>
            <w:r w:rsidRPr="00590881">
              <w:rPr>
                <w:rFonts w:ascii="Calibri" w:hAnsi="Calibri" w:cs="Calibri"/>
                <w:b/>
                <w:bCs/>
                <w:sz w:val="22"/>
                <w:szCs w:val="22"/>
                <w:lang w:val="en-US"/>
              </w:rPr>
              <w:t xml:space="preserve">H.E. Mr. </w:t>
            </w:r>
            <w:proofErr w:type="spellStart"/>
            <w:r w:rsidRPr="00590881">
              <w:rPr>
                <w:rFonts w:ascii="Calibri" w:hAnsi="Calibri" w:cs="Calibri"/>
                <w:b/>
                <w:bCs/>
                <w:sz w:val="22"/>
                <w:szCs w:val="22"/>
                <w:lang w:val="en-US"/>
              </w:rPr>
              <w:t>Sidharto</w:t>
            </w:r>
            <w:proofErr w:type="spellEnd"/>
            <w:r w:rsidRPr="00590881">
              <w:rPr>
                <w:rFonts w:ascii="Calibri" w:hAnsi="Calibri" w:cs="Calibri"/>
                <w:b/>
                <w:bCs/>
                <w:sz w:val="22"/>
                <w:szCs w:val="22"/>
                <w:lang w:val="en-US"/>
              </w:rPr>
              <w:t xml:space="preserve"> Reza Suryodipuro</w:t>
            </w:r>
            <w:r w:rsidRPr="00EF6067">
              <w:rPr>
                <w:rFonts w:ascii="Calibri" w:hAnsi="Calibri" w:cs="Calibri"/>
                <w:sz w:val="22"/>
                <w:szCs w:val="22"/>
                <w:lang w:val="en-US"/>
              </w:rPr>
              <w:t xml:space="preserve">, </w:t>
            </w:r>
            <w:r w:rsidRPr="00590881">
              <w:rPr>
                <w:rFonts w:ascii="Calibri" w:hAnsi="Calibri" w:cs="Calibri"/>
                <w:sz w:val="22"/>
                <w:szCs w:val="22"/>
                <w:lang w:val="en-US"/>
              </w:rPr>
              <w:t>President of the Human Rights Council</w:t>
            </w:r>
          </w:p>
        </w:tc>
      </w:tr>
      <w:tr w:rsidR="00DB2AE7" w:rsidRPr="001A2842" w14:paraId="5C545F86" w14:textId="77777777">
        <w:tc>
          <w:tcPr>
            <w:tcW w:w="1616" w:type="dxa"/>
          </w:tcPr>
          <w:p w14:paraId="78AACB35" w14:textId="77777777" w:rsidR="00DB2AE7" w:rsidRPr="001A2842" w:rsidRDefault="00DB2AE7" w:rsidP="00813443">
            <w:pPr>
              <w:spacing w:after="120" w:line="240" w:lineRule="auto"/>
              <w:rPr>
                <w:rFonts w:ascii="Calibri" w:hAnsi="Calibri" w:cs="Calibri"/>
                <w:b/>
                <w:sz w:val="22"/>
                <w:szCs w:val="22"/>
              </w:rPr>
            </w:pPr>
            <w:r w:rsidRPr="001A2842">
              <w:rPr>
                <w:rFonts w:ascii="Calibri" w:hAnsi="Calibri" w:cs="Calibri"/>
                <w:b/>
                <w:sz w:val="22"/>
                <w:szCs w:val="22"/>
              </w:rPr>
              <w:t xml:space="preserve">Opening statement: </w:t>
            </w:r>
          </w:p>
        </w:tc>
        <w:tc>
          <w:tcPr>
            <w:tcW w:w="8590" w:type="dxa"/>
          </w:tcPr>
          <w:p w14:paraId="2050F1AE" w14:textId="1FA495E8" w:rsidR="00DB2AE7" w:rsidRPr="00590881" w:rsidRDefault="001130AD" w:rsidP="00813443">
            <w:pPr>
              <w:spacing w:after="120" w:line="240" w:lineRule="auto"/>
              <w:rPr>
                <w:rFonts w:ascii="Calibri" w:hAnsi="Calibri" w:cs="Calibri"/>
                <w:sz w:val="22"/>
                <w:szCs w:val="22"/>
              </w:rPr>
            </w:pPr>
            <w:r w:rsidRPr="00EF6067">
              <w:rPr>
                <w:rFonts w:ascii="Calibri" w:hAnsi="Calibri" w:cs="Calibri"/>
                <w:b/>
                <w:bCs/>
                <w:sz w:val="22"/>
                <w:szCs w:val="22"/>
              </w:rPr>
              <w:t>Ms. Nada Al-Nashif</w:t>
            </w:r>
            <w:r w:rsidRPr="001130AD">
              <w:rPr>
                <w:rFonts w:ascii="Calibri" w:hAnsi="Calibri" w:cs="Calibri"/>
                <w:sz w:val="22"/>
                <w:szCs w:val="22"/>
              </w:rPr>
              <w:t>, United Nations Deputy High Commissioner for Human Rights</w:t>
            </w:r>
          </w:p>
        </w:tc>
      </w:tr>
      <w:tr w:rsidR="00DB2AE7" w:rsidRPr="001A2842" w14:paraId="654CCCD6" w14:textId="77777777">
        <w:tc>
          <w:tcPr>
            <w:tcW w:w="1616" w:type="dxa"/>
          </w:tcPr>
          <w:p w14:paraId="2BE1842D" w14:textId="77777777" w:rsidR="00DB2AE7" w:rsidRPr="001A2842" w:rsidRDefault="00DB2AE7" w:rsidP="00813443">
            <w:pPr>
              <w:spacing w:after="120" w:line="240" w:lineRule="auto"/>
              <w:rPr>
                <w:rFonts w:ascii="Calibri" w:hAnsi="Calibri" w:cs="Calibri"/>
                <w:b/>
                <w:sz w:val="22"/>
                <w:szCs w:val="22"/>
              </w:rPr>
            </w:pPr>
            <w:r w:rsidRPr="001A2842">
              <w:rPr>
                <w:rFonts w:ascii="Calibri" w:hAnsi="Calibri" w:cs="Calibri"/>
                <w:b/>
                <w:sz w:val="22"/>
                <w:szCs w:val="22"/>
              </w:rPr>
              <w:t>Panellists:</w:t>
            </w:r>
          </w:p>
        </w:tc>
        <w:tc>
          <w:tcPr>
            <w:tcW w:w="8590" w:type="dxa"/>
          </w:tcPr>
          <w:p w14:paraId="1938051D" w14:textId="77777777" w:rsidR="00DB6A21" w:rsidRDefault="0003658A" w:rsidP="00813443">
            <w:pPr>
              <w:pStyle w:val="ListParagraph"/>
              <w:numPr>
                <w:ilvl w:val="0"/>
                <w:numId w:val="5"/>
              </w:numPr>
              <w:spacing w:after="120" w:line="240" w:lineRule="auto"/>
              <w:ind w:left="357" w:hanging="357"/>
              <w:contextualSpacing w:val="0"/>
              <w:rPr>
                <w:rFonts w:ascii="Calibri" w:hAnsi="Calibri" w:cs="Calibri"/>
                <w:sz w:val="22"/>
                <w:szCs w:val="22"/>
              </w:rPr>
            </w:pPr>
            <w:r w:rsidRPr="0003658A">
              <w:rPr>
                <w:rFonts w:ascii="Calibri" w:hAnsi="Calibri" w:cs="Calibri"/>
                <w:b/>
                <w:bCs/>
                <w:sz w:val="22"/>
                <w:szCs w:val="22"/>
                <w:lang w:val="en-US"/>
              </w:rPr>
              <w:t>Mr. Adama Dieng</w:t>
            </w:r>
            <w:r w:rsidR="005A088A" w:rsidRPr="005A088A">
              <w:rPr>
                <w:rFonts w:ascii="Calibri" w:hAnsi="Calibri" w:cs="Calibri"/>
                <w:sz w:val="22"/>
                <w:szCs w:val="22"/>
              </w:rPr>
              <w:t xml:space="preserve">, </w:t>
            </w:r>
            <w:r w:rsidR="00917A15" w:rsidRPr="00917A15">
              <w:rPr>
                <w:rFonts w:ascii="Calibri" w:hAnsi="Calibri" w:cs="Calibri"/>
                <w:sz w:val="22"/>
                <w:szCs w:val="22"/>
              </w:rPr>
              <w:t>A</w:t>
            </w:r>
            <w:r w:rsidR="00EE3726">
              <w:rPr>
                <w:rFonts w:ascii="Calibri" w:hAnsi="Calibri" w:cs="Calibri"/>
                <w:sz w:val="22"/>
                <w:szCs w:val="22"/>
              </w:rPr>
              <w:t xml:space="preserve">frican </w:t>
            </w:r>
            <w:r w:rsidR="00917A15" w:rsidRPr="00917A15">
              <w:rPr>
                <w:rFonts w:ascii="Calibri" w:hAnsi="Calibri" w:cs="Calibri"/>
                <w:sz w:val="22"/>
                <w:szCs w:val="22"/>
              </w:rPr>
              <w:t>U</w:t>
            </w:r>
            <w:r w:rsidR="00EE3726">
              <w:rPr>
                <w:rFonts w:ascii="Calibri" w:hAnsi="Calibri" w:cs="Calibri"/>
                <w:sz w:val="22"/>
                <w:szCs w:val="22"/>
              </w:rPr>
              <w:t>nion</w:t>
            </w:r>
            <w:r w:rsidR="00917A15" w:rsidRPr="00917A15">
              <w:rPr>
                <w:rFonts w:ascii="Calibri" w:hAnsi="Calibri" w:cs="Calibri"/>
                <w:sz w:val="22"/>
                <w:szCs w:val="22"/>
              </w:rPr>
              <w:t xml:space="preserve"> Special Envoy on the Prevention of Genocide and </w:t>
            </w:r>
            <w:r w:rsidR="00EE3726">
              <w:rPr>
                <w:rFonts w:ascii="Calibri" w:hAnsi="Calibri" w:cs="Calibri"/>
                <w:sz w:val="22"/>
                <w:szCs w:val="22"/>
              </w:rPr>
              <w:t xml:space="preserve">Other </w:t>
            </w:r>
            <w:r w:rsidR="00917A15" w:rsidRPr="00917A15">
              <w:rPr>
                <w:rFonts w:ascii="Calibri" w:hAnsi="Calibri" w:cs="Calibri"/>
                <w:sz w:val="22"/>
                <w:szCs w:val="22"/>
              </w:rPr>
              <w:t xml:space="preserve">Mass Atrocities and </w:t>
            </w:r>
            <w:r w:rsidRPr="0003658A">
              <w:rPr>
                <w:rFonts w:ascii="Calibri" w:hAnsi="Calibri" w:cs="Calibri"/>
                <w:sz w:val="22"/>
                <w:szCs w:val="22"/>
              </w:rPr>
              <w:t xml:space="preserve">former </w:t>
            </w:r>
            <w:r w:rsidR="00A632AC" w:rsidRPr="00A632AC">
              <w:rPr>
                <w:rFonts w:ascii="Calibri" w:hAnsi="Calibri" w:cs="Calibri"/>
                <w:sz w:val="22"/>
                <w:szCs w:val="22"/>
              </w:rPr>
              <w:t>Special Adviser of the Secretary-General on the Prevention of Genocide</w:t>
            </w:r>
          </w:p>
          <w:p w14:paraId="11BFB307" w14:textId="5DD4C9E1" w:rsidR="00251D5D" w:rsidRPr="00DB6A21" w:rsidRDefault="00DB6A21" w:rsidP="00DB6A21">
            <w:pPr>
              <w:pStyle w:val="ListParagraph"/>
              <w:numPr>
                <w:ilvl w:val="0"/>
                <w:numId w:val="5"/>
              </w:numPr>
              <w:spacing w:after="120" w:line="240" w:lineRule="auto"/>
              <w:contextualSpacing w:val="0"/>
              <w:rPr>
                <w:rFonts w:ascii="Calibri" w:hAnsi="Calibri" w:cs="Calibri"/>
                <w:sz w:val="22"/>
                <w:szCs w:val="22"/>
              </w:rPr>
            </w:pPr>
            <w:r w:rsidRPr="00941D29">
              <w:rPr>
                <w:rFonts w:ascii="Calibri" w:hAnsi="Calibri" w:cs="Calibri"/>
                <w:b/>
                <w:bCs/>
                <w:sz w:val="22"/>
                <w:szCs w:val="22"/>
              </w:rPr>
              <w:t>Ms. Awa Dabo</w:t>
            </w:r>
            <w:r>
              <w:rPr>
                <w:rFonts w:ascii="Calibri" w:hAnsi="Calibri" w:cs="Calibri"/>
                <w:sz w:val="22"/>
                <w:szCs w:val="22"/>
              </w:rPr>
              <w:t xml:space="preserve">, </w:t>
            </w:r>
            <w:r w:rsidRPr="00941D29">
              <w:rPr>
                <w:rFonts w:ascii="Calibri" w:hAnsi="Calibri" w:cs="Calibri"/>
                <w:sz w:val="22"/>
                <w:szCs w:val="22"/>
              </w:rPr>
              <w:t>Director and Deputy Head</w:t>
            </w:r>
            <w:r>
              <w:rPr>
                <w:rFonts w:ascii="Calibri" w:hAnsi="Calibri" w:cs="Calibri"/>
                <w:sz w:val="22"/>
                <w:szCs w:val="22"/>
              </w:rPr>
              <w:t xml:space="preserve"> </w:t>
            </w:r>
            <w:r w:rsidR="004B105D">
              <w:rPr>
                <w:rFonts w:ascii="Calibri" w:hAnsi="Calibri" w:cs="Calibri"/>
                <w:sz w:val="22"/>
                <w:szCs w:val="22"/>
              </w:rPr>
              <w:t xml:space="preserve">of the </w:t>
            </w:r>
            <w:r w:rsidRPr="00941D29">
              <w:rPr>
                <w:rFonts w:ascii="Calibri" w:hAnsi="Calibri" w:cs="Calibri"/>
                <w:sz w:val="22"/>
                <w:szCs w:val="22"/>
              </w:rPr>
              <w:t>Peacebuilding</w:t>
            </w:r>
            <w:r>
              <w:rPr>
                <w:rFonts w:ascii="Calibri" w:hAnsi="Calibri" w:cs="Calibri"/>
                <w:sz w:val="22"/>
                <w:szCs w:val="22"/>
              </w:rPr>
              <w:t xml:space="preserve"> and Peace</w:t>
            </w:r>
            <w:r w:rsidRPr="00941D29">
              <w:rPr>
                <w:rFonts w:ascii="Calibri" w:hAnsi="Calibri" w:cs="Calibri"/>
                <w:sz w:val="22"/>
                <w:szCs w:val="22"/>
              </w:rPr>
              <w:t xml:space="preserve"> Support Office</w:t>
            </w:r>
            <w:r w:rsidR="0003658A" w:rsidRPr="00DB6A21">
              <w:rPr>
                <w:rFonts w:ascii="Calibri" w:hAnsi="Calibri" w:cs="Calibri"/>
                <w:sz w:val="22"/>
                <w:szCs w:val="22"/>
              </w:rPr>
              <w:t xml:space="preserve"> </w:t>
            </w:r>
          </w:p>
          <w:p w14:paraId="26C41CAE" w14:textId="7A298AE7" w:rsidR="00DB2AE7" w:rsidRDefault="00F117B4" w:rsidP="00813443">
            <w:pPr>
              <w:pStyle w:val="ListParagraph"/>
              <w:numPr>
                <w:ilvl w:val="0"/>
                <w:numId w:val="5"/>
              </w:numPr>
              <w:spacing w:after="120" w:line="240" w:lineRule="auto"/>
              <w:ind w:left="357" w:hanging="357"/>
              <w:contextualSpacing w:val="0"/>
              <w:rPr>
                <w:rFonts w:ascii="Calibri" w:hAnsi="Calibri" w:cs="Calibri"/>
                <w:sz w:val="22"/>
                <w:szCs w:val="22"/>
              </w:rPr>
            </w:pPr>
            <w:r>
              <w:rPr>
                <w:rFonts w:ascii="Calibri" w:hAnsi="Calibri" w:cs="Calibri"/>
                <w:b/>
                <w:bCs/>
                <w:sz w:val="22"/>
                <w:szCs w:val="22"/>
                <w:lang w:val="en-US"/>
              </w:rPr>
              <w:t xml:space="preserve">Mr. </w:t>
            </w:r>
            <w:r w:rsidR="0003658A" w:rsidRPr="0003658A">
              <w:rPr>
                <w:rFonts w:ascii="Calibri" w:hAnsi="Calibri" w:cs="Calibri"/>
                <w:b/>
                <w:bCs/>
                <w:sz w:val="22"/>
                <w:szCs w:val="22"/>
                <w:lang w:val="en-US"/>
              </w:rPr>
              <w:t>Itonde Kakoma</w:t>
            </w:r>
            <w:r w:rsidR="0003658A" w:rsidRPr="0003658A">
              <w:rPr>
                <w:rFonts w:ascii="Calibri" w:hAnsi="Calibri" w:cs="Calibri"/>
                <w:sz w:val="22"/>
                <w:szCs w:val="22"/>
                <w:lang w:val="en-US"/>
              </w:rPr>
              <w:t xml:space="preserve">, </w:t>
            </w:r>
            <w:r w:rsidR="0003658A" w:rsidRPr="0003658A">
              <w:rPr>
                <w:rFonts w:ascii="Calibri" w:hAnsi="Calibri" w:cs="Calibri"/>
                <w:sz w:val="22"/>
                <w:szCs w:val="22"/>
              </w:rPr>
              <w:t xml:space="preserve">President and </w:t>
            </w:r>
            <w:r w:rsidR="00F54B90" w:rsidRPr="00F54B90">
              <w:rPr>
                <w:rFonts w:ascii="Calibri" w:hAnsi="Calibri" w:cs="Calibri"/>
                <w:sz w:val="22"/>
                <w:szCs w:val="22"/>
              </w:rPr>
              <w:t>Chief Executive Officer</w:t>
            </w:r>
            <w:r w:rsidR="0003658A" w:rsidRPr="0003658A">
              <w:rPr>
                <w:rFonts w:ascii="Calibri" w:hAnsi="Calibri" w:cs="Calibri"/>
                <w:sz w:val="22"/>
                <w:szCs w:val="22"/>
              </w:rPr>
              <w:t xml:space="preserve"> of </w:t>
            </w:r>
            <w:proofErr w:type="spellStart"/>
            <w:r w:rsidR="0003658A" w:rsidRPr="0003658A">
              <w:rPr>
                <w:rFonts w:ascii="Calibri" w:hAnsi="Calibri" w:cs="Calibri"/>
                <w:sz w:val="22"/>
                <w:szCs w:val="22"/>
              </w:rPr>
              <w:t>Interpeace</w:t>
            </w:r>
            <w:proofErr w:type="spellEnd"/>
            <w:r w:rsidR="00590881">
              <w:rPr>
                <w:rFonts w:ascii="Calibri" w:hAnsi="Calibri" w:cs="Calibri"/>
                <w:sz w:val="22"/>
                <w:szCs w:val="22"/>
              </w:rPr>
              <w:t xml:space="preserve"> </w:t>
            </w:r>
          </w:p>
          <w:p w14:paraId="059FFA2A" w14:textId="6E5ED89E" w:rsidR="00BE1299" w:rsidRPr="002E569B" w:rsidRDefault="00224F2D" w:rsidP="002E569B">
            <w:pPr>
              <w:pStyle w:val="ListParagraph"/>
              <w:numPr>
                <w:ilvl w:val="0"/>
                <w:numId w:val="5"/>
              </w:numPr>
              <w:spacing w:after="240" w:line="240" w:lineRule="auto"/>
              <w:ind w:left="357" w:hanging="357"/>
              <w:contextualSpacing w:val="0"/>
              <w:rPr>
                <w:rFonts w:ascii="Calibri" w:hAnsi="Calibri" w:cs="Calibri"/>
                <w:b/>
                <w:bCs/>
                <w:sz w:val="22"/>
                <w:szCs w:val="22"/>
                <w:lang w:val="en-US"/>
              </w:rPr>
            </w:pPr>
            <w:r w:rsidRPr="00224F2D">
              <w:rPr>
                <w:rFonts w:ascii="Calibri" w:hAnsi="Calibri" w:cs="Calibri"/>
                <w:b/>
                <w:bCs/>
                <w:sz w:val="22"/>
                <w:szCs w:val="22"/>
                <w:lang w:val="en-US"/>
              </w:rPr>
              <w:t>Mr. Brett G. Scharffs</w:t>
            </w:r>
            <w:r w:rsidRPr="00EE3726">
              <w:rPr>
                <w:rFonts w:ascii="Calibri" w:hAnsi="Calibri" w:cs="Calibri"/>
                <w:sz w:val="22"/>
                <w:szCs w:val="22"/>
                <w:lang w:val="en-US"/>
              </w:rPr>
              <w:t>,</w:t>
            </w:r>
            <w:r w:rsidRPr="00224F2D">
              <w:rPr>
                <w:rFonts w:ascii="Calibri" w:hAnsi="Calibri" w:cs="Calibri"/>
                <w:b/>
                <w:bCs/>
                <w:sz w:val="22"/>
                <w:szCs w:val="22"/>
                <w:lang w:val="en-US"/>
              </w:rPr>
              <w:t xml:space="preserve"> </w:t>
            </w:r>
            <w:r w:rsidR="001211FE" w:rsidRPr="001211FE">
              <w:rPr>
                <w:rFonts w:ascii="Calibri" w:hAnsi="Calibri" w:cs="Calibri"/>
                <w:sz w:val="22"/>
                <w:szCs w:val="22"/>
                <w:lang w:val="en-US"/>
              </w:rPr>
              <w:t xml:space="preserve">Rex E. Lee </w:t>
            </w:r>
            <w:r w:rsidRPr="001211FE">
              <w:rPr>
                <w:rFonts w:ascii="Calibri" w:hAnsi="Calibri" w:cs="Calibri"/>
                <w:sz w:val="22"/>
                <w:szCs w:val="22"/>
                <w:lang w:val="en-US"/>
              </w:rPr>
              <w:t>Chair</w:t>
            </w:r>
            <w:r w:rsidRPr="00224F2D">
              <w:rPr>
                <w:rFonts w:ascii="Calibri" w:hAnsi="Calibri" w:cs="Calibri"/>
                <w:sz w:val="22"/>
                <w:szCs w:val="22"/>
                <w:lang w:val="en-US"/>
              </w:rPr>
              <w:t xml:space="preserve"> and Professor of Law at Brigham Young University and Director of the International Center for Law and Religion Studies</w:t>
            </w:r>
            <w:r w:rsidRPr="00224F2D">
              <w:rPr>
                <w:rFonts w:ascii="Calibri" w:hAnsi="Calibri" w:cs="Calibri"/>
                <w:b/>
                <w:bCs/>
                <w:sz w:val="22"/>
                <w:szCs w:val="22"/>
                <w:lang w:val="en-US"/>
              </w:rPr>
              <w:t xml:space="preserve"> </w:t>
            </w:r>
          </w:p>
        </w:tc>
      </w:tr>
      <w:tr w:rsidR="00DB2AE7" w:rsidRPr="001A2842" w14:paraId="0333E4BB" w14:textId="77777777">
        <w:tc>
          <w:tcPr>
            <w:tcW w:w="1616" w:type="dxa"/>
          </w:tcPr>
          <w:p w14:paraId="4E5B14B1" w14:textId="77777777" w:rsidR="00DB2AE7" w:rsidRPr="001A2842" w:rsidRDefault="00DB2AE7" w:rsidP="00813443">
            <w:pPr>
              <w:spacing w:line="240" w:lineRule="auto"/>
              <w:rPr>
                <w:rFonts w:ascii="Calibri" w:hAnsi="Calibri" w:cs="Calibri"/>
                <w:b/>
                <w:sz w:val="22"/>
                <w:szCs w:val="22"/>
              </w:rPr>
            </w:pPr>
            <w:r w:rsidRPr="001A2842">
              <w:rPr>
                <w:rFonts w:ascii="Calibri" w:hAnsi="Calibri" w:cs="Calibri"/>
                <w:b/>
                <w:sz w:val="22"/>
                <w:szCs w:val="22"/>
              </w:rPr>
              <w:t>Outcome:</w:t>
            </w:r>
          </w:p>
        </w:tc>
        <w:tc>
          <w:tcPr>
            <w:tcW w:w="8590" w:type="dxa"/>
          </w:tcPr>
          <w:p w14:paraId="281244AA" w14:textId="6C79B679" w:rsidR="00276C3A" w:rsidRPr="00276C3A" w:rsidRDefault="00276C3A" w:rsidP="00813443">
            <w:pPr>
              <w:spacing w:after="120" w:line="240" w:lineRule="auto"/>
              <w:jc w:val="both"/>
              <w:rPr>
                <w:rFonts w:ascii="Calibri" w:hAnsi="Calibri" w:cs="Calibri"/>
                <w:sz w:val="22"/>
                <w:szCs w:val="22"/>
                <w:lang w:val="en-US"/>
              </w:rPr>
            </w:pPr>
            <w:r w:rsidRPr="00276C3A">
              <w:rPr>
                <w:rFonts w:ascii="Calibri" w:hAnsi="Calibri" w:cs="Calibri"/>
                <w:sz w:val="22"/>
                <w:szCs w:val="22"/>
                <w:lang w:val="en-US"/>
              </w:rPr>
              <w:t>The panel discussion is expected to:</w:t>
            </w:r>
          </w:p>
          <w:p w14:paraId="5FE1020D" w14:textId="2CD59EBA" w:rsidR="00276C3A" w:rsidRPr="00276C3A" w:rsidRDefault="00276C3A" w:rsidP="00813443">
            <w:pPr>
              <w:numPr>
                <w:ilvl w:val="0"/>
                <w:numId w:val="8"/>
              </w:numPr>
              <w:spacing w:after="120" w:line="240" w:lineRule="auto"/>
              <w:jc w:val="both"/>
              <w:rPr>
                <w:rFonts w:ascii="Calibri" w:hAnsi="Calibri" w:cs="Calibri"/>
                <w:sz w:val="22"/>
                <w:szCs w:val="22"/>
                <w:lang w:val="en-US"/>
              </w:rPr>
            </w:pPr>
            <w:r w:rsidRPr="00276C3A">
              <w:rPr>
                <w:rFonts w:ascii="Calibri" w:hAnsi="Calibri" w:cs="Calibri"/>
                <w:sz w:val="22"/>
                <w:szCs w:val="22"/>
                <w:lang w:val="en-US"/>
              </w:rPr>
              <w:t>Enhance a shared understanding among States, U</w:t>
            </w:r>
            <w:r w:rsidR="005454F9">
              <w:rPr>
                <w:rFonts w:ascii="Calibri" w:hAnsi="Calibri" w:cs="Calibri"/>
                <w:sz w:val="22"/>
                <w:szCs w:val="22"/>
                <w:lang w:val="en-US"/>
              </w:rPr>
              <w:t xml:space="preserve">nited </w:t>
            </w:r>
            <w:r w:rsidRPr="00276C3A">
              <w:rPr>
                <w:rFonts w:ascii="Calibri" w:hAnsi="Calibri" w:cs="Calibri"/>
                <w:sz w:val="22"/>
                <w:szCs w:val="22"/>
                <w:lang w:val="en-US"/>
              </w:rPr>
              <w:t>N</w:t>
            </w:r>
            <w:r w:rsidR="005454F9">
              <w:rPr>
                <w:rFonts w:ascii="Calibri" w:hAnsi="Calibri" w:cs="Calibri"/>
                <w:sz w:val="22"/>
                <w:szCs w:val="22"/>
                <w:lang w:val="en-US"/>
              </w:rPr>
              <w:t>ations</w:t>
            </w:r>
            <w:r w:rsidRPr="00276C3A">
              <w:rPr>
                <w:rFonts w:ascii="Calibri" w:hAnsi="Calibri" w:cs="Calibri"/>
                <w:sz w:val="22"/>
                <w:szCs w:val="22"/>
                <w:lang w:val="en-US"/>
              </w:rPr>
              <w:t xml:space="preserve"> entities and other stakeholders of how human rights-based approaches contribute to the prevention of conflict and the strengthening of a culture of peace through trust-building, dialogue, mediation and inclusive peacemaking processes.</w:t>
            </w:r>
          </w:p>
          <w:p w14:paraId="561893D3" w14:textId="4DF6A540" w:rsidR="00276C3A" w:rsidRPr="00276C3A" w:rsidRDefault="00276C3A" w:rsidP="00813443">
            <w:pPr>
              <w:numPr>
                <w:ilvl w:val="0"/>
                <w:numId w:val="8"/>
              </w:numPr>
              <w:spacing w:after="120" w:line="240" w:lineRule="auto"/>
              <w:jc w:val="both"/>
              <w:rPr>
                <w:rFonts w:ascii="Calibri" w:hAnsi="Calibri" w:cs="Calibri"/>
                <w:sz w:val="22"/>
                <w:szCs w:val="22"/>
                <w:lang w:val="en-US"/>
              </w:rPr>
            </w:pPr>
            <w:r w:rsidRPr="00276C3A">
              <w:rPr>
                <w:rFonts w:ascii="Calibri" w:hAnsi="Calibri" w:cs="Calibri"/>
                <w:sz w:val="22"/>
                <w:szCs w:val="22"/>
                <w:lang w:val="en-US"/>
              </w:rPr>
              <w:t>Identify practical ways in which States can be supported in leading and sustaining national, regional and global efforts to advance a culture of peace, including through the integration of human rights into prevention, peacebuilding and mediation strategies, and through strengthened coherence and alignment across the United Nations system.</w:t>
            </w:r>
          </w:p>
          <w:p w14:paraId="07EBDD19" w14:textId="303C609D" w:rsidR="00276C3A" w:rsidRPr="00276C3A" w:rsidRDefault="00276C3A" w:rsidP="00813443">
            <w:pPr>
              <w:numPr>
                <w:ilvl w:val="0"/>
                <w:numId w:val="8"/>
              </w:numPr>
              <w:spacing w:after="120" w:line="240" w:lineRule="auto"/>
              <w:jc w:val="both"/>
              <w:rPr>
                <w:rFonts w:ascii="Calibri" w:hAnsi="Calibri" w:cs="Calibri"/>
                <w:sz w:val="22"/>
                <w:szCs w:val="22"/>
                <w:lang w:val="en-US"/>
              </w:rPr>
            </w:pPr>
            <w:r w:rsidRPr="00276C3A">
              <w:rPr>
                <w:rFonts w:ascii="Calibri" w:hAnsi="Calibri" w:cs="Calibri"/>
                <w:sz w:val="22"/>
                <w:szCs w:val="22"/>
                <w:lang w:val="en-US"/>
              </w:rPr>
              <w:t>Promote the exchange of experiences, good practices, challenges and lessons learned on how the protection and promotion of human rights can effectively support peaceful, inclusive and resilient societies, with particular attention to context-specific approaches.</w:t>
            </w:r>
          </w:p>
          <w:p w14:paraId="1735BA2C" w14:textId="1753461F" w:rsidR="00DB2AE7" w:rsidRPr="00171276" w:rsidRDefault="00276C3A" w:rsidP="00813443">
            <w:pPr>
              <w:numPr>
                <w:ilvl w:val="0"/>
                <w:numId w:val="8"/>
              </w:numPr>
              <w:spacing w:after="120" w:line="240" w:lineRule="auto"/>
              <w:jc w:val="both"/>
              <w:rPr>
                <w:rFonts w:ascii="Calibri" w:hAnsi="Calibri" w:cs="Calibri"/>
                <w:sz w:val="22"/>
                <w:szCs w:val="22"/>
                <w:lang w:val="en-US"/>
              </w:rPr>
            </w:pPr>
            <w:r w:rsidRPr="00276C3A">
              <w:rPr>
                <w:rFonts w:ascii="Calibri" w:hAnsi="Calibri" w:cs="Calibri"/>
                <w:sz w:val="22"/>
                <w:szCs w:val="22"/>
                <w:lang w:val="en-US"/>
              </w:rPr>
              <w:t>Generate forward-looking recommendations and highlight concrete pathways for action, including innovative partnerships, tools and mechanisms, to sustain a culture of peace over the long term, in line with international human rights obligations and the purposes and principles of the United Nations.</w:t>
            </w:r>
          </w:p>
        </w:tc>
      </w:tr>
      <w:tr w:rsidR="00DB2AE7" w:rsidRPr="001A2842" w14:paraId="02B0435F" w14:textId="77777777">
        <w:tc>
          <w:tcPr>
            <w:tcW w:w="1616" w:type="dxa"/>
          </w:tcPr>
          <w:p w14:paraId="78DA9CFE" w14:textId="77777777" w:rsidR="00DB2AE7" w:rsidRPr="001A2842" w:rsidRDefault="00DB2AE7" w:rsidP="00813443">
            <w:pPr>
              <w:spacing w:line="240" w:lineRule="auto"/>
              <w:rPr>
                <w:rFonts w:ascii="Calibri" w:hAnsi="Calibri" w:cs="Calibri"/>
                <w:b/>
                <w:sz w:val="22"/>
                <w:szCs w:val="22"/>
              </w:rPr>
            </w:pPr>
            <w:r w:rsidRPr="001A2842">
              <w:rPr>
                <w:rFonts w:ascii="Calibri" w:hAnsi="Calibri" w:cs="Calibri"/>
                <w:b/>
                <w:sz w:val="22"/>
                <w:szCs w:val="22"/>
              </w:rPr>
              <w:t xml:space="preserve">Mandate: </w:t>
            </w:r>
          </w:p>
        </w:tc>
        <w:tc>
          <w:tcPr>
            <w:tcW w:w="8590" w:type="dxa"/>
          </w:tcPr>
          <w:p w14:paraId="1BED8912" w14:textId="633C95CE" w:rsidR="00DB2AE7" w:rsidRPr="00DA2FD7" w:rsidRDefault="00DA2FD7" w:rsidP="00813443">
            <w:pPr>
              <w:spacing w:after="120" w:line="240" w:lineRule="auto"/>
              <w:jc w:val="both"/>
              <w:rPr>
                <w:rFonts w:ascii="Calibri" w:hAnsi="Calibri" w:cs="Calibri"/>
                <w:b/>
                <w:bCs/>
                <w:sz w:val="22"/>
                <w:szCs w:val="22"/>
                <w:lang w:val="en-US"/>
              </w:rPr>
            </w:pPr>
            <w:r w:rsidRPr="00DA2FD7">
              <w:rPr>
                <w:rFonts w:ascii="Calibri" w:hAnsi="Calibri" w:cs="Calibri"/>
                <w:sz w:val="22"/>
                <w:szCs w:val="22"/>
                <w:lang w:val="en-US"/>
              </w:rPr>
              <w:t xml:space="preserve">In its resolution </w:t>
            </w:r>
            <w:hyperlink r:id="rId12" w:history="1">
              <w:r w:rsidRPr="00DA2FD7">
                <w:rPr>
                  <w:rStyle w:val="Hyperlink"/>
                  <w:rFonts w:ascii="Calibri" w:hAnsi="Calibri" w:cs="Calibri"/>
                  <w:sz w:val="22"/>
                  <w:szCs w:val="22"/>
                  <w:lang w:val="en-US"/>
                </w:rPr>
                <w:t>55/17</w:t>
              </w:r>
            </w:hyperlink>
            <w:r w:rsidRPr="00DA2FD7">
              <w:rPr>
                <w:rFonts w:ascii="Calibri" w:hAnsi="Calibri" w:cs="Calibri"/>
                <w:sz w:val="22"/>
                <w:szCs w:val="22"/>
                <w:lang w:val="en-US"/>
              </w:rPr>
              <w:t>, the Human Rights Council</w:t>
            </w:r>
            <w:r>
              <w:rPr>
                <w:rFonts w:ascii="Calibri" w:hAnsi="Calibri" w:cs="Calibri"/>
                <w:b/>
                <w:bCs/>
                <w:sz w:val="22"/>
                <w:szCs w:val="22"/>
                <w:lang w:val="en-US"/>
              </w:rPr>
              <w:t xml:space="preserve"> </w:t>
            </w:r>
            <w:r>
              <w:rPr>
                <w:rFonts w:ascii="Calibri" w:hAnsi="Calibri" w:cs="Calibri"/>
                <w:sz w:val="22"/>
                <w:szCs w:val="22"/>
                <w:lang w:val="en-US"/>
              </w:rPr>
              <w:t>d</w:t>
            </w:r>
            <w:r w:rsidRPr="00DA2FD7">
              <w:rPr>
                <w:rFonts w:ascii="Calibri" w:hAnsi="Calibri" w:cs="Calibri"/>
                <w:sz w:val="22"/>
                <w:szCs w:val="22"/>
                <w:lang w:val="en-US"/>
              </w:rPr>
              <w:t>ecided to hold an interactive expert panel discussion</w:t>
            </w:r>
            <w:r w:rsidR="00A95876" w:rsidRPr="00A95876">
              <w:rPr>
                <w:rFonts w:ascii="Calibri" w:hAnsi="Calibri" w:cs="Calibri"/>
                <w:sz w:val="22"/>
                <w:szCs w:val="22"/>
              </w:rPr>
              <w:t xml:space="preserve">, fully accessible to persons with disabilities, </w:t>
            </w:r>
            <w:r w:rsidRPr="00DA2FD7">
              <w:rPr>
                <w:rFonts w:ascii="Calibri" w:hAnsi="Calibri" w:cs="Calibri"/>
                <w:sz w:val="22"/>
                <w:szCs w:val="22"/>
                <w:lang w:val="en-US"/>
              </w:rPr>
              <w:t>at its sixty-first session on human rights and a culture of peace</w:t>
            </w:r>
            <w:r w:rsidR="00F05B7F">
              <w:rPr>
                <w:rFonts w:ascii="Calibri" w:hAnsi="Calibri" w:cs="Calibri"/>
                <w:sz w:val="22"/>
                <w:szCs w:val="22"/>
                <w:lang w:val="en-US"/>
              </w:rPr>
              <w:t xml:space="preserve">, </w:t>
            </w:r>
            <w:r w:rsidR="00F05B7F" w:rsidRPr="00F05B7F">
              <w:rPr>
                <w:rFonts w:ascii="Calibri" w:hAnsi="Calibri" w:cs="Calibri"/>
                <w:sz w:val="22"/>
                <w:szCs w:val="22"/>
                <w:lang w:val="en-US"/>
              </w:rPr>
              <w:t xml:space="preserve">open to the participation of interested States, relevant United Nations </w:t>
            </w:r>
            <w:r w:rsidR="00F05B7F" w:rsidRPr="00F05B7F">
              <w:rPr>
                <w:rFonts w:ascii="Calibri" w:hAnsi="Calibri" w:cs="Calibri"/>
                <w:sz w:val="22"/>
                <w:szCs w:val="22"/>
                <w:lang w:val="en-US"/>
              </w:rPr>
              <w:lastRenderedPageBreak/>
              <w:t xml:space="preserve">agencies, funds and </w:t>
            </w:r>
            <w:proofErr w:type="spellStart"/>
            <w:r w:rsidR="00F05B7F" w:rsidRPr="00F05B7F">
              <w:rPr>
                <w:rFonts w:ascii="Calibri" w:hAnsi="Calibri" w:cs="Calibri"/>
                <w:sz w:val="22"/>
                <w:szCs w:val="22"/>
                <w:lang w:val="en-US"/>
              </w:rPr>
              <w:t>programmes</w:t>
            </w:r>
            <w:proofErr w:type="spellEnd"/>
            <w:r w:rsidR="00F05B7F" w:rsidRPr="00F05B7F">
              <w:rPr>
                <w:rFonts w:ascii="Calibri" w:hAnsi="Calibri" w:cs="Calibri"/>
                <w:sz w:val="22"/>
                <w:szCs w:val="22"/>
                <w:lang w:val="en-US"/>
              </w:rPr>
              <w:t>, international human rights mechanisms, national human rights institutions, civil society organizations, academia and other relevant stakeholders</w:t>
            </w:r>
            <w:r w:rsidRPr="00DA2FD7">
              <w:rPr>
                <w:rFonts w:ascii="Calibri" w:hAnsi="Calibri" w:cs="Calibri"/>
                <w:sz w:val="22"/>
                <w:szCs w:val="22"/>
                <w:lang w:val="en-US"/>
              </w:rPr>
              <w:t>.</w:t>
            </w:r>
          </w:p>
        </w:tc>
      </w:tr>
      <w:tr w:rsidR="00DB2AE7" w:rsidRPr="001A2842" w14:paraId="356FCFAF" w14:textId="77777777">
        <w:tc>
          <w:tcPr>
            <w:tcW w:w="1616" w:type="dxa"/>
          </w:tcPr>
          <w:p w14:paraId="3F154018" w14:textId="77777777" w:rsidR="00DB2AE7" w:rsidRPr="001A2842" w:rsidRDefault="00DB2AE7" w:rsidP="00813443">
            <w:pPr>
              <w:spacing w:line="240" w:lineRule="auto"/>
              <w:rPr>
                <w:rFonts w:ascii="Calibri" w:hAnsi="Calibri" w:cs="Calibri"/>
                <w:b/>
                <w:sz w:val="22"/>
                <w:szCs w:val="22"/>
              </w:rPr>
            </w:pPr>
            <w:r w:rsidRPr="001A2842">
              <w:rPr>
                <w:rFonts w:ascii="Calibri" w:hAnsi="Calibri" w:cs="Calibri"/>
                <w:b/>
                <w:sz w:val="22"/>
                <w:szCs w:val="22"/>
              </w:rPr>
              <w:lastRenderedPageBreak/>
              <w:t>Background:</w:t>
            </w:r>
          </w:p>
        </w:tc>
        <w:tc>
          <w:tcPr>
            <w:tcW w:w="8590" w:type="dxa"/>
          </w:tcPr>
          <w:p w14:paraId="0ADCC020" w14:textId="14144517" w:rsidR="00DA2FD7" w:rsidRPr="00DA2FD7" w:rsidRDefault="00726AF3" w:rsidP="00813443">
            <w:pPr>
              <w:spacing w:after="120" w:line="240" w:lineRule="auto"/>
              <w:jc w:val="both"/>
              <w:rPr>
                <w:rFonts w:ascii="Calibri" w:hAnsi="Calibri" w:cs="Calibri"/>
                <w:sz w:val="22"/>
                <w:szCs w:val="22"/>
                <w:lang w:val="en-US"/>
              </w:rPr>
            </w:pPr>
            <w:r>
              <w:rPr>
                <w:rFonts w:ascii="Calibri" w:hAnsi="Calibri" w:cs="Calibri"/>
                <w:sz w:val="22"/>
                <w:szCs w:val="22"/>
                <w:lang w:val="en-US"/>
              </w:rPr>
              <w:t>In its r</w:t>
            </w:r>
            <w:r w:rsidR="00DA2FD7" w:rsidRPr="00DA2FD7">
              <w:rPr>
                <w:rFonts w:ascii="Calibri" w:hAnsi="Calibri" w:cs="Calibri"/>
                <w:sz w:val="22"/>
                <w:szCs w:val="22"/>
                <w:lang w:val="en-US"/>
              </w:rPr>
              <w:t>esolution 55/17</w:t>
            </w:r>
            <w:r>
              <w:rPr>
                <w:rFonts w:ascii="Calibri" w:hAnsi="Calibri" w:cs="Calibri"/>
                <w:sz w:val="22"/>
                <w:szCs w:val="22"/>
                <w:lang w:val="en-US"/>
              </w:rPr>
              <w:t xml:space="preserve">, the </w:t>
            </w:r>
            <w:r w:rsidRPr="00DA2FD7">
              <w:rPr>
                <w:rFonts w:ascii="Calibri" w:hAnsi="Calibri" w:cs="Calibri"/>
                <w:sz w:val="22"/>
                <w:szCs w:val="22"/>
                <w:lang w:val="en-US"/>
              </w:rPr>
              <w:t>Human Rights Council</w:t>
            </w:r>
            <w:r w:rsidR="00DA2FD7" w:rsidRPr="00DA2FD7">
              <w:rPr>
                <w:rFonts w:ascii="Calibri" w:hAnsi="Calibri" w:cs="Calibri"/>
                <w:sz w:val="22"/>
                <w:szCs w:val="22"/>
                <w:lang w:val="en-US"/>
              </w:rPr>
              <w:t xml:space="preserve"> reaffirms that peace and security, development and human rights are interlinked and mutually reinforcing, and that the development of a culture of peace is intrinsically connected to the full realization of all human rights for all. The resolution underscores that building a culture of peace requires sustained efforts to promote non-discrimination, equality, dialogue, mutual understanding and cooperation, as well as a commitment to the prevention of violence and the peaceful settlement of disputes.</w:t>
            </w:r>
          </w:p>
          <w:p w14:paraId="51C35162" w14:textId="68AB3927" w:rsidR="00DA2FD7" w:rsidRPr="00DA2FD7" w:rsidRDefault="00DA2FD7" w:rsidP="00813443">
            <w:pPr>
              <w:spacing w:after="120" w:line="240" w:lineRule="auto"/>
              <w:jc w:val="both"/>
              <w:rPr>
                <w:rFonts w:ascii="Calibri" w:hAnsi="Calibri" w:cs="Calibri"/>
                <w:sz w:val="22"/>
                <w:szCs w:val="22"/>
                <w:lang w:val="en-US"/>
              </w:rPr>
            </w:pPr>
            <w:r w:rsidRPr="00DA2FD7">
              <w:rPr>
                <w:rFonts w:ascii="Calibri" w:hAnsi="Calibri" w:cs="Calibri"/>
                <w:sz w:val="22"/>
                <w:szCs w:val="22"/>
                <w:lang w:val="en-US"/>
              </w:rPr>
              <w:t xml:space="preserve">The </w:t>
            </w:r>
            <w:r w:rsidR="0000449A">
              <w:rPr>
                <w:rFonts w:ascii="Calibri" w:hAnsi="Calibri" w:cs="Calibri"/>
                <w:sz w:val="22"/>
                <w:szCs w:val="22"/>
                <w:lang w:val="en-US"/>
              </w:rPr>
              <w:t xml:space="preserve">Council </w:t>
            </w:r>
            <w:r w:rsidR="00F270F2">
              <w:rPr>
                <w:rFonts w:ascii="Calibri" w:hAnsi="Calibri" w:cs="Calibri"/>
                <w:sz w:val="22"/>
                <w:szCs w:val="22"/>
                <w:lang w:val="en-US"/>
              </w:rPr>
              <w:t xml:space="preserve">also </w:t>
            </w:r>
            <w:r w:rsidRPr="00DA2FD7">
              <w:rPr>
                <w:rFonts w:ascii="Calibri" w:hAnsi="Calibri" w:cs="Calibri"/>
                <w:sz w:val="22"/>
                <w:szCs w:val="22"/>
                <w:lang w:val="en-US"/>
              </w:rPr>
              <w:t>recognizes that a culture of peace is fostered through inclusive, participatory and accountable institutions, respect for diversity, and the active engagement of all members of society, including women, youth, minorities, civil society organizations and national human rights institutions. It highlights the important role of education, information integrity and media literacy in strengthening peaceful societies, combating intolerance and hate speech, and addressing root causes of conflict and social fragmentation.</w:t>
            </w:r>
          </w:p>
          <w:p w14:paraId="4D15FA90" w14:textId="70B5D9FE" w:rsidR="00DA2FD7" w:rsidRPr="00DA2FD7" w:rsidRDefault="00DA2FD7" w:rsidP="00813443">
            <w:pPr>
              <w:spacing w:after="120" w:line="240" w:lineRule="auto"/>
              <w:jc w:val="both"/>
              <w:rPr>
                <w:rFonts w:ascii="Calibri" w:hAnsi="Calibri" w:cs="Calibri"/>
                <w:sz w:val="22"/>
                <w:szCs w:val="22"/>
                <w:lang w:val="en-US"/>
              </w:rPr>
            </w:pPr>
            <w:r w:rsidRPr="00DA2FD7">
              <w:rPr>
                <w:rFonts w:ascii="Calibri" w:hAnsi="Calibri" w:cs="Calibri"/>
                <w:sz w:val="22"/>
                <w:szCs w:val="22"/>
                <w:lang w:val="en-US"/>
              </w:rPr>
              <w:t>Preventing violence and sustaining peace require not only early warning and mediation, but also structural measures that address grievances, strengthen the rule of law and build trust between communities and public institutions. Human rights protection and monitoring contribute to identifying patterns of exclusion, discrimination or inequality that may undermine social cohesion or increase the risk of tensions. A culture of peace include</w:t>
            </w:r>
            <w:r w:rsidR="00C92B1E">
              <w:rPr>
                <w:rFonts w:ascii="Calibri" w:hAnsi="Calibri" w:cs="Calibri"/>
                <w:sz w:val="22"/>
                <w:szCs w:val="22"/>
                <w:lang w:val="en-US"/>
              </w:rPr>
              <w:t>s</w:t>
            </w:r>
            <w:r w:rsidRPr="00DA2FD7">
              <w:rPr>
                <w:rFonts w:ascii="Calibri" w:hAnsi="Calibri" w:cs="Calibri"/>
                <w:sz w:val="22"/>
                <w:szCs w:val="22"/>
                <w:lang w:val="en-US"/>
              </w:rPr>
              <w:t xml:space="preserve"> a commitment to peaceful resolution of disputes.</w:t>
            </w:r>
          </w:p>
          <w:p w14:paraId="79F63D45" w14:textId="0BBC770C" w:rsidR="00DB2AE7" w:rsidRDefault="00DA2FD7" w:rsidP="00813443">
            <w:pPr>
              <w:spacing w:after="120" w:line="240" w:lineRule="auto"/>
              <w:jc w:val="both"/>
              <w:rPr>
                <w:rFonts w:ascii="Calibri" w:hAnsi="Calibri" w:cs="Calibri"/>
                <w:sz w:val="22"/>
                <w:szCs w:val="22"/>
                <w:lang w:val="en-US"/>
              </w:rPr>
            </w:pPr>
            <w:r w:rsidRPr="00DA2FD7">
              <w:rPr>
                <w:rFonts w:ascii="Calibri" w:hAnsi="Calibri" w:cs="Calibri"/>
                <w:sz w:val="22"/>
                <w:szCs w:val="22"/>
                <w:lang w:val="en-US"/>
              </w:rPr>
              <w:t>In this context, the panel discussion at the sixty-first session of the Human Rights Council provides a timely opportunity to explore how human rights</w:t>
            </w:r>
            <w:r w:rsidR="00170355">
              <w:rPr>
                <w:rFonts w:ascii="Calibri" w:hAnsi="Calibri" w:cs="Calibri"/>
                <w:sz w:val="22"/>
                <w:szCs w:val="22"/>
                <w:lang w:val="en-US"/>
              </w:rPr>
              <w:t>-</w:t>
            </w:r>
            <w:r w:rsidRPr="00DA2FD7">
              <w:rPr>
                <w:rFonts w:ascii="Calibri" w:hAnsi="Calibri" w:cs="Calibri"/>
                <w:sz w:val="22"/>
                <w:szCs w:val="22"/>
                <w:lang w:val="en-US"/>
              </w:rPr>
              <w:t>based approaches can reinforce a culture of peace through the preventive, trust-building and peacemaking effects inherent to human rights; to examine the ways in which inclusive governance and resilient, accountable institutions help sustain peaceful and cohesive societies; and to consider how the United Nations system can further strengthen its cooperation with States in support of national strategies that integrate human rights as a foundation for a culture of peace. The discussion will also allow for the sharing of concrete experiences and practical measures that promote dialogue, address underlying sources of tension, and advance a culture of peace, thereby contributing to more stable, inclusive and resilient societies.</w:t>
            </w:r>
          </w:p>
          <w:p w14:paraId="03A59277" w14:textId="33DE45A7" w:rsidR="00510255" w:rsidRDefault="00510255" w:rsidP="00813443">
            <w:pPr>
              <w:spacing w:after="120" w:line="240" w:lineRule="auto"/>
              <w:rPr>
                <w:rFonts w:ascii="Calibri" w:hAnsi="Calibri" w:cs="Calibri"/>
                <w:sz w:val="22"/>
                <w:szCs w:val="22"/>
              </w:rPr>
            </w:pPr>
            <w:r w:rsidRPr="00510255">
              <w:rPr>
                <w:rFonts w:ascii="Calibri" w:hAnsi="Calibri" w:cs="Calibri"/>
                <w:sz w:val="22"/>
                <w:szCs w:val="22"/>
              </w:rPr>
              <w:t xml:space="preserve">The panel </w:t>
            </w:r>
            <w:r w:rsidR="00A27861">
              <w:rPr>
                <w:rFonts w:ascii="Calibri" w:hAnsi="Calibri" w:cs="Calibri"/>
                <w:sz w:val="22"/>
                <w:szCs w:val="22"/>
              </w:rPr>
              <w:t xml:space="preserve">discussion </w:t>
            </w:r>
            <w:r w:rsidRPr="00510255">
              <w:rPr>
                <w:rFonts w:ascii="Calibri" w:hAnsi="Calibri" w:cs="Calibri"/>
                <w:sz w:val="22"/>
                <w:szCs w:val="22"/>
              </w:rPr>
              <w:t>will be guided by four overarching questions:</w:t>
            </w:r>
          </w:p>
          <w:p w14:paraId="670BD820" w14:textId="38286C0C" w:rsidR="00510255" w:rsidRPr="00510255" w:rsidRDefault="00510255" w:rsidP="00813443">
            <w:pPr>
              <w:spacing w:after="120" w:line="240" w:lineRule="auto"/>
              <w:jc w:val="both"/>
              <w:rPr>
                <w:rFonts w:ascii="Calibri" w:hAnsi="Calibri" w:cs="Calibri"/>
                <w:sz w:val="22"/>
                <w:szCs w:val="22"/>
              </w:rPr>
            </w:pPr>
            <w:r w:rsidRPr="00510255">
              <w:rPr>
                <w:rFonts w:ascii="Calibri" w:hAnsi="Calibri" w:cs="Calibri"/>
                <w:sz w:val="22"/>
                <w:szCs w:val="22"/>
              </w:rPr>
              <w:t>1.</w:t>
            </w:r>
            <w:r w:rsidRPr="00510255">
              <w:rPr>
                <w:rFonts w:ascii="Calibri" w:hAnsi="Calibri" w:cs="Calibri"/>
                <w:sz w:val="22"/>
                <w:szCs w:val="22"/>
              </w:rPr>
              <w:tab/>
              <w:t>How can States be best supported in leading national efforts to promote a culture of peace</w:t>
            </w:r>
            <w:r w:rsidR="0053565C">
              <w:rPr>
                <w:rFonts w:ascii="Calibri" w:hAnsi="Calibri" w:cs="Calibri"/>
                <w:sz w:val="22"/>
                <w:szCs w:val="22"/>
              </w:rPr>
              <w:t>,</w:t>
            </w:r>
            <w:r w:rsidRPr="00510255">
              <w:rPr>
                <w:rFonts w:ascii="Calibri" w:hAnsi="Calibri" w:cs="Calibri"/>
                <w:sz w:val="22"/>
                <w:szCs w:val="22"/>
              </w:rPr>
              <w:t xml:space="preserve"> including through human rights education, inclusive dialogue, mediation and non-discrimination policies</w:t>
            </w:r>
            <w:r w:rsidR="0053565C">
              <w:rPr>
                <w:rFonts w:ascii="Calibri" w:hAnsi="Calibri" w:cs="Calibri"/>
                <w:sz w:val="22"/>
                <w:szCs w:val="22"/>
              </w:rPr>
              <w:t>;</w:t>
            </w:r>
            <w:r w:rsidRPr="00510255">
              <w:rPr>
                <w:rFonts w:ascii="Calibri" w:hAnsi="Calibri" w:cs="Calibri"/>
                <w:sz w:val="22"/>
                <w:szCs w:val="22"/>
              </w:rPr>
              <w:t xml:space="preserve"> and what practical forms of cooperation from the U</w:t>
            </w:r>
            <w:r w:rsidR="00A27861">
              <w:rPr>
                <w:rFonts w:ascii="Calibri" w:hAnsi="Calibri" w:cs="Calibri"/>
                <w:sz w:val="22"/>
                <w:szCs w:val="22"/>
              </w:rPr>
              <w:t xml:space="preserve">nited </w:t>
            </w:r>
            <w:r w:rsidRPr="00510255">
              <w:rPr>
                <w:rFonts w:ascii="Calibri" w:hAnsi="Calibri" w:cs="Calibri"/>
                <w:sz w:val="22"/>
                <w:szCs w:val="22"/>
              </w:rPr>
              <w:t>N</w:t>
            </w:r>
            <w:r w:rsidR="00A27861">
              <w:rPr>
                <w:rFonts w:ascii="Calibri" w:hAnsi="Calibri" w:cs="Calibri"/>
                <w:sz w:val="22"/>
                <w:szCs w:val="22"/>
              </w:rPr>
              <w:t>ations</w:t>
            </w:r>
            <w:r w:rsidRPr="00510255">
              <w:rPr>
                <w:rFonts w:ascii="Calibri" w:hAnsi="Calibri" w:cs="Calibri"/>
                <w:sz w:val="22"/>
                <w:szCs w:val="22"/>
              </w:rPr>
              <w:t xml:space="preserve"> system have shown the most impact?</w:t>
            </w:r>
          </w:p>
          <w:p w14:paraId="4C6F3956" w14:textId="77777777" w:rsidR="00510255" w:rsidRPr="00510255" w:rsidRDefault="00510255" w:rsidP="00813443">
            <w:pPr>
              <w:spacing w:after="120" w:line="240" w:lineRule="auto"/>
              <w:jc w:val="both"/>
              <w:rPr>
                <w:rFonts w:ascii="Calibri" w:hAnsi="Calibri" w:cs="Calibri"/>
                <w:sz w:val="22"/>
                <w:szCs w:val="22"/>
              </w:rPr>
            </w:pPr>
            <w:r w:rsidRPr="00510255">
              <w:rPr>
                <w:rFonts w:ascii="Calibri" w:hAnsi="Calibri" w:cs="Calibri"/>
                <w:sz w:val="22"/>
                <w:szCs w:val="22"/>
              </w:rPr>
              <w:t>2.</w:t>
            </w:r>
            <w:r w:rsidRPr="00510255">
              <w:rPr>
                <w:rFonts w:ascii="Calibri" w:hAnsi="Calibri" w:cs="Calibri"/>
                <w:sz w:val="22"/>
                <w:szCs w:val="22"/>
              </w:rPr>
              <w:tab/>
              <w:t>What concrete measures have proven effective in ensuring that human rights-based approaches contribute to prevention, trust-building and the peaceful management of tensions, and how can these approaches be strengthened or replicated in different contexts?</w:t>
            </w:r>
          </w:p>
          <w:p w14:paraId="61F77FCB" w14:textId="0B78D119" w:rsidR="00510255" w:rsidRPr="00510255" w:rsidRDefault="00510255" w:rsidP="00813443">
            <w:pPr>
              <w:spacing w:after="120" w:line="240" w:lineRule="auto"/>
              <w:jc w:val="both"/>
              <w:rPr>
                <w:rFonts w:ascii="Calibri" w:hAnsi="Calibri" w:cs="Calibri"/>
                <w:sz w:val="22"/>
                <w:szCs w:val="22"/>
              </w:rPr>
            </w:pPr>
            <w:r w:rsidRPr="00510255">
              <w:rPr>
                <w:rFonts w:ascii="Calibri" w:hAnsi="Calibri" w:cs="Calibri"/>
                <w:sz w:val="22"/>
                <w:szCs w:val="22"/>
              </w:rPr>
              <w:t>3.</w:t>
            </w:r>
            <w:r w:rsidRPr="00510255">
              <w:rPr>
                <w:rFonts w:ascii="Calibri" w:hAnsi="Calibri" w:cs="Calibri"/>
                <w:sz w:val="22"/>
                <w:szCs w:val="22"/>
              </w:rPr>
              <w:tab/>
              <w:t>How can innovative partnerships, including with national human rights institutions, civil society, women and youth peacebuilders, and educational or cultural actors, help sustain a culture of peace and what practical tools or approaches have shown promise in generating long-term impact?</w:t>
            </w:r>
          </w:p>
          <w:p w14:paraId="04CFDD77" w14:textId="34FA6E3F" w:rsidR="00510255" w:rsidRPr="001A2842" w:rsidRDefault="00510255" w:rsidP="00813443">
            <w:pPr>
              <w:spacing w:after="120" w:line="240" w:lineRule="auto"/>
              <w:jc w:val="both"/>
              <w:rPr>
                <w:rFonts w:ascii="Calibri" w:hAnsi="Calibri" w:cs="Calibri"/>
                <w:sz w:val="22"/>
                <w:szCs w:val="22"/>
              </w:rPr>
            </w:pPr>
            <w:r w:rsidRPr="00510255">
              <w:rPr>
                <w:rFonts w:ascii="Calibri" w:hAnsi="Calibri" w:cs="Calibri"/>
                <w:sz w:val="22"/>
                <w:szCs w:val="22"/>
              </w:rPr>
              <w:t>4.</w:t>
            </w:r>
            <w:r w:rsidRPr="00510255">
              <w:rPr>
                <w:rFonts w:ascii="Calibri" w:hAnsi="Calibri" w:cs="Calibri"/>
                <w:sz w:val="22"/>
                <w:szCs w:val="22"/>
              </w:rPr>
              <w:tab/>
              <w:t xml:space="preserve">Based on the experiences shared and the priorities identified, what practical and realistic follow-up steps could States consider </w:t>
            </w:r>
            <w:proofErr w:type="gramStart"/>
            <w:r w:rsidRPr="00510255">
              <w:rPr>
                <w:rFonts w:ascii="Calibri" w:hAnsi="Calibri" w:cs="Calibri"/>
                <w:sz w:val="22"/>
                <w:szCs w:val="22"/>
              </w:rPr>
              <w:t>to maintain</w:t>
            </w:r>
            <w:proofErr w:type="gramEnd"/>
            <w:r w:rsidRPr="00510255">
              <w:rPr>
                <w:rFonts w:ascii="Calibri" w:hAnsi="Calibri" w:cs="Calibri"/>
                <w:sz w:val="22"/>
                <w:szCs w:val="22"/>
              </w:rPr>
              <w:t xml:space="preserve"> attention to human rights and a culture of peace within the </w:t>
            </w:r>
            <w:r w:rsidR="005A2A68">
              <w:rPr>
                <w:rFonts w:ascii="Calibri" w:hAnsi="Calibri" w:cs="Calibri"/>
                <w:sz w:val="22"/>
                <w:szCs w:val="22"/>
              </w:rPr>
              <w:t xml:space="preserve">work of the </w:t>
            </w:r>
            <w:r w:rsidRPr="00510255">
              <w:rPr>
                <w:rFonts w:ascii="Calibri" w:hAnsi="Calibri" w:cs="Calibri"/>
                <w:sz w:val="22"/>
                <w:szCs w:val="22"/>
              </w:rPr>
              <w:t>Human Rights Council, without creating undue resource burdens, and how might existing mechanisms or cooperative initiatives be leveraged to sustain momentum?</w:t>
            </w:r>
          </w:p>
        </w:tc>
      </w:tr>
      <w:tr w:rsidR="00DB2AE7" w:rsidRPr="001A2842" w14:paraId="14279F82" w14:textId="77777777">
        <w:trPr>
          <w:trHeight w:val="80"/>
        </w:trPr>
        <w:tc>
          <w:tcPr>
            <w:tcW w:w="1616" w:type="dxa"/>
          </w:tcPr>
          <w:p w14:paraId="1D7F41EC" w14:textId="77777777" w:rsidR="00DB2AE7" w:rsidRPr="001A2842" w:rsidRDefault="00DB2AE7" w:rsidP="00813443">
            <w:pPr>
              <w:spacing w:line="240" w:lineRule="auto"/>
              <w:rPr>
                <w:rFonts w:ascii="Calibri" w:hAnsi="Calibri" w:cs="Calibri"/>
                <w:b/>
                <w:sz w:val="22"/>
                <w:szCs w:val="22"/>
              </w:rPr>
            </w:pPr>
            <w:r w:rsidRPr="001A2842">
              <w:rPr>
                <w:rFonts w:ascii="Calibri" w:hAnsi="Calibri" w:cs="Calibri"/>
                <w:b/>
                <w:sz w:val="22"/>
                <w:szCs w:val="22"/>
              </w:rPr>
              <w:t xml:space="preserve">Format: </w:t>
            </w:r>
          </w:p>
        </w:tc>
        <w:tc>
          <w:tcPr>
            <w:tcW w:w="8590" w:type="dxa"/>
          </w:tcPr>
          <w:p w14:paraId="3610A9F1" w14:textId="1E8F687A" w:rsidR="00DB2AE7" w:rsidRPr="001A2842" w:rsidRDefault="00DB2AE7" w:rsidP="00813443">
            <w:pPr>
              <w:spacing w:after="120" w:line="240" w:lineRule="auto"/>
              <w:jc w:val="both"/>
              <w:rPr>
                <w:rFonts w:ascii="Calibri" w:hAnsi="Calibri" w:cs="Calibri"/>
                <w:bCs/>
                <w:sz w:val="22"/>
                <w:szCs w:val="22"/>
              </w:rPr>
            </w:pPr>
            <w:r w:rsidRPr="001A2842">
              <w:rPr>
                <w:rFonts w:ascii="Calibri" w:hAnsi="Calibri" w:cs="Calibri"/>
                <w:bCs/>
                <w:sz w:val="22"/>
                <w:szCs w:val="22"/>
              </w:rPr>
              <w:t xml:space="preserve">The panel discussion will be limited to two hours. The opening statement and initial presentations by the panellists will be followed by a </w:t>
            </w:r>
            <w:r w:rsidRPr="001A2842">
              <w:rPr>
                <w:rFonts w:ascii="Calibri" w:hAnsi="Calibri" w:cs="Calibri"/>
                <w:sz w:val="22"/>
                <w:szCs w:val="22"/>
              </w:rPr>
              <w:t xml:space="preserve">two-part </w:t>
            </w:r>
            <w:r w:rsidRPr="001A2842">
              <w:rPr>
                <w:rFonts w:ascii="Calibri" w:hAnsi="Calibri" w:cs="Calibri"/>
                <w:bCs/>
                <w:sz w:val="22"/>
                <w:szCs w:val="22"/>
              </w:rPr>
              <w:t xml:space="preserve">interactive discussion </w:t>
            </w:r>
            <w:r w:rsidRPr="001A2842">
              <w:rPr>
                <w:rFonts w:ascii="Calibri" w:hAnsi="Calibri" w:cs="Calibri"/>
                <w:sz w:val="22"/>
                <w:szCs w:val="22"/>
              </w:rPr>
              <w:t>and by conclusions from the panellists</w:t>
            </w:r>
            <w:r w:rsidRPr="001A2842">
              <w:rPr>
                <w:rFonts w:ascii="Calibri" w:hAnsi="Calibri" w:cs="Calibri"/>
                <w:bCs/>
                <w:sz w:val="22"/>
                <w:szCs w:val="22"/>
              </w:rPr>
              <w:t xml:space="preserve">. A maximum of one hour will be set aside for podium interventions, including the opening statement, panellists’ presentations, and their responses </w:t>
            </w:r>
            <w:r w:rsidRPr="001A2842">
              <w:rPr>
                <w:rFonts w:ascii="Calibri" w:hAnsi="Calibri" w:cs="Calibri"/>
                <w:bCs/>
                <w:sz w:val="22"/>
                <w:szCs w:val="22"/>
              </w:rPr>
              <w:lastRenderedPageBreak/>
              <w:t>to questions and concluding remarks. The remaining hour will be reserved for two segments of interventions from the floor, with each segment consisting of interventions from 14 States or observers, 2 national human rights institutions and 4 non-governmental organizations. Each speaker will have 1.5 minutes to raise issues and to ask panellists questions. The panellists will respond to questions and comments during the remaining time available.</w:t>
            </w:r>
          </w:p>
          <w:p w14:paraId="385446A9" w14:textId="5044FEA7" w:rsidR="00DB2AE7" w:rsidRPr="001A2842" w:rsidRDefault="00DB2AE7" w:rsidP="00813443">
            <w:pPr>
              <w:spacing w:after="120" w:line="240" w:lineRule="auto"/>
              <w:jc w:val="both"/>
              <w:rPr>
                <w:rFonts w:ascii="Calibri" w:hAnsi="Calibri" w:cs="Calibri"/>
                <w:bCs/>
                <w:sz w:val="22"/>
                <w:szCs w:val="22"/>
              </w:rPr>
            </w:pPr>
            <w:r w:rsidRPr="001A2842">
              <w:rPr>
                <w:rFonts w:ascii="Calibri" w:hAnsi="Calibri" w:cs="Calibri"/>
                <w:sz w:val="22"/>
                <w:szCs w:val="22"/>
              </w:rPr>
              <w:t xml:space="preserve">The list of speakers for the discussion will be established through the online inscription system and, as per practice, statements by high-level dignitaries and groups of States will be moved to the beginning of the list. Delegates who could not take the floor due to time constraints will be able to upload their statements on the online system to be posted </w:t>
            </w:r>
            <w:hyperlink r:id="rId13" w:history="1">
              <w:r w:rsidRPr="001A2842">
                <w:rPr>
                  <w:rStyle w:val="Hyperlink"/>
                  <w:rFonts w:ascii="Calibri" w:hAnsi="Calibri" w:cs="Calibri"/>
                  <w:sz w:val="22"/>
                  <w:szCs w:val="22"/>
                </w:rPr>
                <w:t>on the HRC Extranet</w:t>
              </w:r>
            </w:hyperlink>
            <w:r w:rsidRPr="001A2842">
              <w:rPr>
                <w:rFonts w:ascii="Calibri" w:hAnsi="Calibri" w:cs="Calibri"/>
                <w:sz w:val="22"/>
                <w:szCs w:val="22"/>
              </w:rPr>
              <w:t>. Interpretation will be provided in the six United Nations official languages (Arabic, Chinese, English, French, Russian and Spanish).</w:t>
            </w:r>
          </w:p>
        </w:tc>
      </w:tr>
      <w:tr w:rsidR="00DB2AE7" w:rsidRPr="001A2842" w14:paraId="2AABFF55" w14:textId="77777777">
        <w:tc>
          <w:tcPr>
            <w:tcW w:w="1616" w:type="dxa"/>
          </w:tcPr>
          <w:p w14:paraId="4F1EF719" w14:textId="77777777" w:rsidR="00DB2AE7" w:rsidRPr="001A2842" w:rsidRDefault="00DB2AE7" w:rsidP="00813443">
            <w:pPr>
              <w:spacing w:line="240" w:lineRule="auto"/>
              <w:rPr>
                <w:rFonts w:ascii="Calibri" w:hAnsi="Calibri" w:cs="Calibri"/>
                <w:b/>
                <w:bCs/>
                <w:sz w:val="22"/>
                <w:szCs w:val="22"/>
              </w:rPr>
            </w:pPr>
            <w:r w:rsidRPr="001A2842">
              <w:rPr>
                <w:rFonts w:ascii="Calibri" w:hAnsi="Calibri" w:cs="Calibri"/>
                <w:b/>
                <w:bCs/>
                <w:sz w:val="22"/>
                <w:szCs w:val="22"/>
              </w:rPr>
              <w:lastRenderedPageBreak/>
              <w:t>Accessibility:</w:t>
            </w:r>
          </w:p>
        </w:tc>
        <w:tc>
          <w:tcPr>
            <w:tcW w:w="8590" w:type="dxa"/>
          </w:tcPr>
          <w:p w14:paraId="71FA4EC0" w14:textId="01C5DA09" w:rsidR="00DB2AE7" w:rsidRPr="001A2842" w:rsidRDefault="00DB2AE7" w:rsidP="00813443">
            <w:pPr>
              <w:spacing w:after="120" w:line="240" w:lineRule="auto"/>
              <w:jc w:val="both"/>
              <w:rPr>
                <w:rFonts w:ascii="Calibri" w:hAnsi="Calibri" w:cs="Calibri"/>
                <w:bCs/>
                <w:sz w:val="22"/>
                <w:szCs w:val="22"/>
              </w:rPr>
            </w:pPr>
            <w:proofErr w:type="gramStart"/>
            <w:r w:rsidRPr="001A2842">
              <w:rPr>
                <w:rFonts w:ascii="Calibri" w:hAnsi="Calibri" w:cs="Calibri"/>
                <w:bCs/>
                <w:sz w:val="22"/>
                <w:szCs w:val="22"/>
              </w:rPr>
              <w:t>In an effort to</w:t>
            </w:r>
            <w:proofErr w:type="gramEnd"/>
            <w:r w:rsidRPr="001A2842">
              <w:rPr>
                <w:rFonts w:ascii="Calibri" w:hAnsi="Calibri" w:cs="Calibri"/>
                <w:bCs/>
                <w:sz w:val="22"/>
                <w:szCs w:val="22"/>
              </w:rPr>
              <w:t xml:space="preserve"> render the Human Rights Council more accessible to persons with disabilities and to </w:t>
            </w:r>
            <w:r w:rsidRPr="00590881">
              <w:rPr>
                <w:rFonts w:ascii="Calibri" w:hAnsi="Calibri" w:cs="Calibri"/>
                <w:bCs/>
                <w:sz w:val="22"/>
                <w:szCs w:val="22"/>
              </w:rPr>
              <w:t xml:space="preserve">promote their full participation in the work of the Council on an equal basis with others, the panel discussion will be webcast and made accessible. International sign interpretation and real-time captioning in English will be provided and webcast. Participants can access live English captioning on the </w:t>
            </w:r>
            <w:proofErr w:type="spellStart"/>
            <w:r w:rsidRPr="00590881">
              <w:rPr>
                <w:rFonts w:ascii="Calibri" w:hAnsi="Calibri" w:cs="Calibri"/>
                <w:bCs/>
                <w:sz w:val="22"/>
                <w:szCs w:val="22"/>
              </w:rPr>
              <w:t>StreamText</w:t>
            </w:r>
            <w:proofErr w:type="spellEnd"/>
            <w:r w:rsidRPr="00590881">
              <w:rPr>
                <w:rFonts w:ascii="Calibri" w:hAnsi="Calibri" w:cs="Calibri"/>
                <w:bCs/>
                <w:sz w:val="22"/>
                <w:szCs w:val="22"/>
              </w:rPr>
              <w:t xml:space="preserve"> web page (</w:t>
            </w:r>
            <w:hyperlink r:id="rId14" w:history="1">
              <w:r w:rsidRPr="00590881">
                <w:rPr>
                  <w:rStyle w:val="Hyperlink"/>
                  <w:rFonts w:ascii="Calibri" w:hAnsi="Calibri" w:cs="Calibri"/>
                  <w:bCs/>
                  <w:sz w:val="22"/>
                  <w:szCs w:val="22"/>
                </w:rPr>
                <w:t>https://www.streamtext.net/player?event=CFI-UNOG</w:t>
              </w:r>
            </w:hyperlink>
            <w:r w:rsidRPr="00590881">
              <w:rPr>
                <w:rFonts w:ascii="Calibri" w:hAnsi="Calibri" w:cs="Calibri"/>
                <w:bCs/>
                <w:sz w:val="22"/>
                <w:szCs w:val="22"/>
              </w:rPr>
              <w:t xml:space="preserve">) during the event itself. </w:t>
            </w:r>
            <w:r w:rsidRPr="00590881">
              <w:rPr>
                <w:rFonts w:ascii="Calibri" w:hAnsi="Calibri" w:cs="Calibri"/>
                <w:sz w:val="22"/>
                <w:szCs w:val="22"/>
              </w:rPr>
              <w:t>Hearing</w:t>
            </w:r>
            <w:r w:rsidRPr="001A2842">
              <w:rPr>
                <w:rFonts w:ascii="Calibri" w:hAnsi="Calibri" w:cs="Calibri"/>
                <w:sz w:val="22"/>
                <w:szCs w:val="22"/>
              </w:rPr>
              <w:t xml:space="preserve"> loops are available for collection from the Secretariat desk. Oral statements may be embossed in Braille from any of the six official languages of the United Nations, upon request and following the procedure described in the</w:t>
            </w:r>
            <w:r w:rsidRPr="001A2842">
              <w:rPr>
                <w:rFonts w:ascii="Calibri" w:hAnsi="Calibri" w:cs="Calibri"/>
                <w:i/>
                <w:sz w:val="22"/>
                <w:szCs w:val="22"/>
              </w:rPr>
              <w:t xml:space="preserve"> Accessibility guide to the Human Rights Council for persons with disabilities</w:t>
            </w:r>
            <w:r w:rsidRPr="001A2842">
              <w:rPr>
                <w:rFonts w:ascii="Calibri" w:hAnsi="Calibri" w:cs="Calibri"/>
                <w:sz w:val="22"/>
                <w:szCs w:val="22"/>
              </w:rPr>
              <w:t xml:space="preserve"> (</w:t>
            </w:r>
            <w:hyperlink r:id="rId15" w:history="1">
              <w:r w:rsidRPr="001A2842">
                <w:rPr>
                  <w:rStyle w:val="Hyperlink"/>
                  <w:rFonts w:ascii="Calibri" w:hAnsi="Calibri" w:cs="Calibri"/>
                  <w:sz w:val="22"/>
                  <w:szCs w:val="22"/>
                </w:rPr>
                <w:t>https://www.ohchr.org/en/hr-bodies/hrc/accessibility</w:t>
              </w:r>
            </w:hyperlink>
            <w:r w:rsidRPr="001A2842">
              <w:rPr>
                <w:rFonts w:ascii="Calibri" w:hAnsi="Calibri" w:cs="Calibri"/>
                <w:sz w:val="22"/>
                <w:szCs w:val="22"/>
              </w:rPr>
              <w:t>).</w:t>
            </w:r>
          </w:p>
        </w:tc>
      </w:tr>
      <w:tr w:rsidR="00DB2AE7" w:rsidRPr="001A2842" w14:paraId="351CE6E0" w14:textId="77777777">
        <w:tc>
          <w:tcPr>
            <w:tcW w:w="1616" w:type="dxa"/>
          </w:tcPr>
          <w:p w14:paraId="236F22CB" w14:textId="77777777" w:rsidR="00DB2AE7" w:rsidRPr="001A2842" w:rsidRDefault="00DB2AE7" w:rsidP="00813443">
            <w:pPr>
              <w:spacing w:line="240" w:lineRule="auto"/>
              <w:rPr>
                <w:rFonts w:ascii="Calibri" w:hAnsi="Calibri" w:cs="Calibri"/>
                <w:b/>
                <w:sz w:val="22"/>
                <w:szCs w:val="22"/>
              </w:rPr>
            </w:pPr>
            <w:r w:rsidRPr="001A2842">
              <w:rPr>
                <w:rFonts w:ascii="Calibri" w:hAnsi="Calibri" w:cs="Calibri"/>
                <w:b/>
                <w:sz w:val="22"/>
                <w:szCs w:val="22"/>
              </w:rPr>
              <w:t>Related documents:</w:t>
            </w:r>
          </w:p>
        </w:tc>
        <w:tc>
          <w:tcPr>
            <w:tcW w:w="8590" w:type="dxa"/>
          </w:tcPr>
          <w:p w14:paraId="674AE7DC" w14:textId="1E4A3E4C" w:rsidR="00DB2AE7" w:rsidRPr="001A2842" w:rsidRDefault="00C56E9B" w:rsidP="00813443">
            <w:pPr>
              <w:spacing w:after="120" w:line="240" w:lineRule="auto"/>
              <w:rPr>
                <w:rFonts w:ascii="Calibri" w:hAnsi="Calibri" w:cs="Calibri"/>
                <w:iCs/>
                <w:sz w:val="22"/>
                <w:szCs w:val="22"/>
              </w:rPr>
            </w:pPr>
            <w:r w:rsidRPr="001A2842">
              <w:rPr>
                <w:rFonts w:ascii="Calibri" w:hAnsi="Calibri" w:cs="Calibri"/>
                <w:iCs/>
                <w:sz w:val="22"/>
                <w:szCs w:val="22"/>
              </w:rPr>
              <w:t xml:space="preserve">Human Rights Council </w:t>
            </w:r>
            <w:r w:rsidR="009A7BDD" w:rsidRPr="001A2842">
              <w:rPr>
                <w:rFonts w:ascii="Calibri" w:hAnsi="Calibri" w:cs="Calibri"/>
                <w:iCs/>
                <w:sz w:val="22"/>
                <w:szCs w:val="22"/>
              </w:rPr>
              <w:t>r</w:t>
            </w:r>
            <w:r w:rsidRPr="001A2842">
              <w:rPr>
                <w:rFonts w:ascii="Calibri" w:hAnsi="Calibri" w:cs="Calibri"/>
                <w:iCs/>
                <w:sz w:val="22"/>
                <w:szCs w:val="22"/>
              </w:rPr>
              <w:t xml:space="preserve">esolution </w:t>
            </w:r>
            <w:hyperlink r:id="rId16" w:history="1">
              <w:r w:rsidR="00510255" w:rsidRPr="00DA2FD7">
                <w:rPr>
                  <w:rStyle w:val="Hyperlink"/>
                  <w:rFonts w:ascii="Calibri" w:hAnsi="Calibri" w:cs="Calibri"/>
                  <w:sz w:val="22"/>
                  <w:szCs w:val="22"/>
                  <w:lang w:val="en-US"/>
                </w:rPr>
                <w:t>55/17</w:t>
              </w:r>
            </w:hyperlink>
            <w:r w:rsidR="00BD6D11" w:rsidRPr="001A2842">
              <w:rPr>
                <w:rFonts w:ascii="Calibri" w:hAnsi="Calibri" w:cs="Calibri"/>
                <w:iCs/>
                <w:sz w:val="22"/>
                <w:szCs w:val="22"/>
              </w:rPr>
              <w:t xml:space="preserve"> of 4 April 2024 </w:t>
            </w:r>
            <w:r w:rsidR="00510255">
              <w:rPr>
                <w:rFonts w:ascii="Calibri" w:hAnsi="Calibri" w:cs="Calibri"/>
                <w:iCs/>
                <w:sz w:val="22"/>
                <w:szCs w:val="22"/>
              </w:rPr>
              <w:t xml:space="preserve">on </w:t>
            </w:r>
            <w:r w:rsidR="0036738D">
              <w:rPr>
                <w:rFonts w:ascii="Calibri" w:hAnsi="Calibri" w:cs="Calibri"/>
                <w:iCs/>
                <w:sz w:val="22"/>
                <w:szCs w:val="22"/>
              </w:rPr>
              <w:t>h</w:t>
            </w:r>
            <w:r w:rsidR="00510255" w:rsidRPr="00510255">
              <w:rPr>
                <w:rFonts w:ascii="Calibri" w:hAnsi="Calibri" w:cs="Calibri"/>
                <w:iCs/>
                <w:sz w:val="22"/>
                <w:szCs w:val="22"/>
              </w:rPr>
              <w:t>uman rights and a culture of peace</w:t>
            </w:r>
          </w:p>
          <w:p w14:paraId="2DE13E39" w14:textId="53199899" w:rsidR="008E33A7" w:rsidRPr="001A2842" w:rsidRDefault="008E33A7" w:rsidP="00813443">
            <w:pPr>
              <w:spacing w:after="120" w:line="240" w:lineRule="auto"/>
              <w:rPr>
                <w:rFonts w:ascii="Calibri" w:hAnsi="Calibri" w:cs="Calibri"/>
                <w:iCs/>
                <w:sz w:val="22"/>
                <w:szCs w:val="22"/>
              </w:rPr>
            </w:pPr>
          </w:p>
        </w:tc>
      </w:tr>
    </w:tbl>
    <w:p w14:paraId="0DE52723" w14:textId="77777777" w:rsidR="00C56B00" w:rsidRPr="001A2842" w:rsidRDefault="00C56B00" w:rsidP="00813443">
      <w:pPr>
        <w:spacing w:line="240" w:lineRule="auto"/>
        <w:rPr>
          <w:rFonts w:ascii="Calibri" w:hAnsi="Calibri" w:cs="Calibri"/>
          <w:sz w:val="22"/>
          <w:szCs w:val="22"/>
        </w:rPr>
      </w:pPr>
    </w:p>
    <w:sectPr w:rsidR="00C56B00" w:rsidRPr="001A2842" w:rsidSect="006C3C16">
      <w:footerReference w:type="default" r:id="rId17"/>
      <w:pgSz w:w="11906" w:h="16838"/>
      <w:pgMar w:top="709" w:right="1440" w:bottom="709" w:left="1440" w:header="568"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3398" w14:textId="77777777" w:rsidR="00591BA1" w:rsidRPr="001A2842" w:rsidRDefault="00591BA1" w:rsidP="00DB2AE7">
      <w:pPr>
        <w:spacing w:after="0" w:line="240" w:lineRule="auto"/>
      </w:pPr>
      <w:r w:rsidRPr="001A2842">
        <w:separator/>
      </w:r>
    </w:p>
  </w:endnote>
  <w:endnote w:type="continuationSeparator" w:id="0">
    <w:p w14:paraId="24AD71E2" w14:textId="77777777" w:rsidR="00591BA1" w:rsidRPr="001A2842" w:rsidRDefault="00591BA1" w:rsidP="00DB2AE7">
      <w:pPr>
        <w:spacing w:after="0" w:line="240" w:lineRule="auto"/>
      </w:pPr>
      <w:r w:rsidRPr="001A2842">
        <w:continuationSeparator/>
      </w:r>
    </w:p>
  </w:endnote>
  <w:endnote w:type="continuationNotice" w:id="1">
    <w:p w14:paraId="0F22636E" w14:textId="77777777" w:rsidR="00591BA1" w:rsidRPr="001A2842" w:rsidRDefault="00591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3133" w14:textId="77777777" w:rsidR="00D06C06" w:rsidRPr="001A2842" w:rsidRDefault="00D06C06">
    <w:pPr>
      <w:pStyle w:val="Footer"/>
      <w:jc w:val="center"/>
      <w:rPr>
        <w:rFonts w:ascii="Calibri" w:hAnsi="Calibri" w:cs="Calibri"/>
        <w:sz w:val="20"/>
        <w:szCs w:val="20"/>
      </w:rPr>
    </w:pPr>
    <w:r w:rsidRPr="001A2842">
      <w:rPr>
        <w:rFonts w:ascii="Calibri" w:hAnsi="Calibri" w:cs="Calibri"/>
        <w:sz w:val="20"/>
        <w:szCs w:val="20"/>
      </w:rPr>
      <w:fldChar w:fldCharType="begin"/>
    </w:r>
    <w:r w:rsidRPr="001A2842">
      <w:rPr>
        <w:rFonts w:ascii="Calibri" w:hAnsi="Calibri" w:cs="Calibri"/>
        <w:sz w:val="20"/>
        <w:szCs w:val="20"/>
      </w:rPr>
      <w:instrText xml:space="preserve"> PAGE   \* MERGEFORMAT </w:instrText>
    </w:r>
    <w:r w:rsidRPr="001A2842">
      <w:rPr>
        <w:rFonts w:ascii="Calibri" w:hAnsi="Calibri" w:cs="Calibri"/>
        <w:sz w:val="20"/>
        <w:szCs w:val="20"/>
      </w:rPr>
      <w:fldChar w:fldCharType="separate"/>
    </w:r>
    <w:r w:rsidRPr="001A2842">
      <w:rPr>
        <w:rFonts w:ascii="Calibri" w:hAnsi="Calibri" w:cs="Calibri"/>
        <w:sz w:val="20"/>
        <w:szCs w:val="20"/>
      </w:rPr>
      <w:t>1</w:t>
    </w:r>
    <w:r w:rsidRPr="001A2842">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0FA3" w14:textId="77777777" w:rsidR="00591BA1" w:rsidRPr="001A2842" w:rsidRDefault="00591BA1" w:rsidP="00DB2AE7">
      <w:pPr>
        <w:spacing w:after="0" w:line="240" w:lineRule="auto"/>
      </w:pPr>
      <w:r w:rsidRPr="001A2842">
        <w:separator/>
      </w:r>
    </w:p>
  </w:footnote>
  <w:footnote w:type="continuationSeparator" w:id="0">
    <w:p w14:paraId="0FB76E38" w14:textId="77777777" w:rsidR="00591BA1" w:rsidRPr="001A2842" w:rsidRDefault="00591BA1" w:rsidP="00DB2AE7">
      <w:pPr>
        <w:spacing w:after="0" w:line="240" w:lineRule="auto"/>
      </w:pPr>
      <w:r w:rsidRPr="001A2842">
        <w:continuationSeparator/>
      </w:r>
    </w:p>
  </w:footnote>
  <w:footnote w:type="continuationNotice" w:id="1">
    <w:p w14:paraId="6B4C827F" w14:textId="77777777" w:rsidR="00591BA1" w:rsidRPr="001A2842" w:rsidRDefault="00591B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0510B"/>
    <w:multiLevelType w:val="multilevel"/>
    <w:tmpl w:val="98EE56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FF424E2"/>
    <w:multiLevelType w:val="multilevel"/>
    <w:tmpl w:val="65F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A3983"/>
    <w:multiLevelType w:val="hybridMultilevel"/>
    <w:tmpl w:val="3F74BB30"/>
    <w:lvl w:ilvl="0" w:tplc="9A2AE232">
      <w:start w:val="1"/>
      <w:numFmt w:val="decimal"/>
      <w:lvlText w:val="%1)"/>
      <w:lvlJc w:val="left"/>
      <w:pPr>
        <w:ind w:left="1020" w:hanging="360"/>
      </w:pPr>
    </w:lvl>
    <w:lvl w:ilvl="1" w:tplc="4D284F38">
      <w:start w:val="1"/>
      <w:numFmt w:val="decimal"/>
      <w:lvlText w:val="%2)"/>
      <w:lvlJc w:val="left"/>
      <w:pPr>
        <w:ind w:left="1020" w:hanging="360"/>
      </w:pPr>
    </w:lvl>
    <w:lvl w:ilvl="2" w:tplc="8656297A">
      <w:start w:val="1"/>
      <w:numFmt w:val="decimal"/>
      <w:lvlText w:val="%3)"/>
      <w:lvlJc w:val="left"/>
      <w:pPr>
        <w:ind w:left="1020" w:hanging="360"/>
      </w:pPr>
    </w:lvl>
    <w:lvl w:ilvl="3" w:tplc="7CECCAF2">
      <w:start w:val="1"/>
      <w:numFmt w:val="decimal"/>
      <w:lvlText w:val="%4)"/>
      <w:lvlJc w:val="left"/>
      <w:pPr>
        <w:ind w:left="1020" w:hanging="360"/>
      </w:pPr>
    </w:lvl>
    <w:lvl w:ilvl="4" w:tplc="4510E330">
      <w:start w:val="1"/>
      <w:numFmt w:val="decimal"/>
      <w:lvlText w:val="%5)"/>
      <w:lvlJc w:val="left"/>
      <w:pPr>
        <w:ind w:left="1020" w:hanging="360"/>
      </w:pPr>
    </w:lvl>
    <w:lvl w:ilvl="5" w:tplc="6762B40C">
      <w:start w:val="1"/>
      <w:numFmt w:val="decimal"/>
      <w:lvlText w:val="%6)"/>
      <w:lvlJc w:val="left"/>
      <w:pPr>
        <w:ind w:left="1020" w:hanging="360"/>
      </w:pPr>
    </w:lvl>
    <w:lvl w:ilvl="6" w:tplc="9D9E6870">
      <w:start w:val="1"/>
      <w:numFmt w:val="decimal"/>
      <w:lvlText w:val="%7)"/>
      <w:lvlJc w:val="left"/>
      <w:pPr>
        <w:ind w:left="1020" w:hanging="360"/>
      </w:pPr>
    </w:lvl>
    <w:lvl w:ilvl="7" w:tplc="0D969620">
      <w:start w:val="1"/>
      <w:numFmt w:val="decimal"/>
      <w:lvlText w:val="%8)"/>
      <w:lvlJc w:val="left"/>
      <w:pPr>
        <w:ind w:left="1020" w:hanging="360"/>
      </w:pPr>
    </w:lvl>
    <w:lvl w:ilvl="8" w:tplc="CDB4036E">
      <w:start w:val="1"/>
      <w:numFmt w:val="decimal"/>
      <w:lvlText w:val="%9)"/>
      <w:lvlJc w:val="left"/>
      <w:pPr>
        <w:ind w:left="1020" w:hanging="360"/>
      </w:pPr>
    </w:lvl>
  </w:abstractNum>
  <w:abstractNum w:abstractNumId="3" w15:restartNumberingAfterBreak="0">
    <w:nsid w:val="4F0409F9"/>
    <w:multiLevelType w:val="hybridMultilevel"/>
    <w:tmpl w:val="828A78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0D009AA"/>
    <w:multiLevelType w:val="hybridMultilevel"/>
    <w:tmpl w:val="D7BC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636405"/>
    <w:multiLevelType w:val="hybridMultilevel"/>
    <w:tmpl w:val="56DA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575E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3025593"/>
    <w:multiLevelType w:val="hybridMultilevel"/>
    <w:tmpl w:val="6706EB3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094668261">
    <w:abstractNumId w:val="5"/>
  </w:num>
  <w:num w:numId="2" w16cid:durableId="70737664">
    <w:abstractNumId w:val="6"/>
  </w:num>
  <w:num w:numId="3" w16cid:durableId="1173446687">
    <w:abstractNumId w:val="3"/>
  </w:num>
  <w:num w:numId="4" w16cid:durableId="2029523258">
    <w:abstractNumId w:val="2"/>
  </w:num>
  <w:num w:numId="5" w16cid:durableId="471871987">
    <w:abstractNumId w:val="8"/>
  </w:num>
  <w:num w:numId="6" w16cid:durableId="2069570467">
    <w:abstractNumId w:val="1"/>
  </w:num>
  <w:num w:numId="7" w16cid:durableId="1640068168">
    <w:abstractNumId w:val="4"/>
  </w:num>
  <w:num w:numId="8" w16cid:durableId="1836922224">
    <w:abstractNumId w:val="0"/>
  </w:num>
  <w:num w:numId="9" w16cid:durableId="749425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E7"/>
    <w:rsid w:val="00003861"/>
    <w:rsid w:val="0000449A"/>
    <w:rsid w:val="00007C11"/>
    <w:rsid w:val="000132E3"/>
    <w:rsid w:val="00016C6E"/>
    <w:rsid w:val="00016E20"/>
    <w:rsid w:val="0002125A"/>
    <w:rsid w:val="0002416F"/>
    <w:rsid w:val="0003658A"/>
    <w:rsid w:val="00037CA8"/>
    <w:rsid w:val="00045F24"/>
    <w:rsid w:val="00055B8A"/>
    <w:rsid w:val="00060FCB"/>
    <w:rsid w:val="00065F8B"/>
    <w:rsid w:val="0007628D"/>
    <w:rsid w:val="000773DE"/>
    <w:rsid w:val="0007787F"/>
    <w:rsid w:val="00081F1D"/>
    <w:rsid w:val="00086286"/>
    <w:rsid w:val="000961CC"/>
    <w:rsid w:val="000A2217"/>
    <w:rsid w:val="000A6680"/>
    <w:rsid w:val="000B386F"/>
    <w:rsid w:val="000C5889"/>
    <w:rsid w:val="000D21C7"/>
    <w:rsid w:val="000D3990"/>
    <w:rsid w:val="000E0203"/>
    <w:rsid w:val="000E0914"/>
    <w:rsid w:val="000F4949"/>
    <w:rsid w:val="00106356"/>
    <w:rsid w:val="001079DF"/>
    <w:rsid w:val="001130AD"/>
    <w:rsid w:val="00115189"/>
    <w:rsid w:val="00117A44"/>
    <w:rsid w:val="001211FE"/>
    <w:rsid w:val="0012195A"/>
    <w:rsid w:val="0013068B"/>
    <w:rsid w:val="001318B0"/>
    <w:rsid w:val="00141B36"/>
    <w:rsid w:val="001500D8"/>
    <w:rsid w:val="00155593"/>
    <w:rsid w:val="0015729C"/>
    <w:rsid w:val="00160EDC"/>
    <w:rsid w:val="00161C07"/>
    <w:rsid w:val="00165F59"/>
    <w:rsid w:val="0016735D"/>
    <w:rsid w:val="00170355"/>
    <w:rsid w:val="00171276"/>
    <w:rsid w:val="001831AF"/>
    <w:rsid w:val="00186437"/>
    <w:rsid w:val="00187DAE"/>
    <w:rsid w:val="0019218B"/>
    <w:rsid w:val="0019251F"/>
    <w:rsid w:val="001A1674"/>
    <w:rsid w:val="001A25DD"/>
    <w:rsid w:val="001A2842"/>
    <w:rsid w:val="001A3B24"/>
    <w:rsid w:val="001B18F9"/>
    <w:rsid w:val="001B24C9"/>
    <w:rsid w:val="001B58FA"/>
    <w:rsid w:val="001B5921"/>
    <w:rsid w:val="001C4A58"/>
    <w:rsid w:val="001C4B3F"/>
    <w:rsid w:val="001C76D6"/>
    <w:rsid w:val="001E0247"/>
    <w:rsid w:val="001E2A0E"/>
    <w:rsid w:val="001E395D"/>
    <w:rsid w:val="001E4BD5"/>
    <w:rsid w:val="001E6E52"/>
    <w:rsid w:val="001E7805"/>
    <w:rsid w:val="001F3D69"/>
    <w:rsid w:val="001F58A5"/>
    <w:rsid w:val="002009BB"/>
    <w:rsid w:val="00200E2C"/>
    <w:rsid w:val="00200F8E"/>
    <w:rsid w:val="00210303"/>
    <w:rsid w:val="00213E7C"/>
    <w:rsid w:val="00214D1F"/>
    <w:rsid w:val="002241CC"/>
    <w:rsid w:val="00224F2D"/>
    <w:rsid w:val="002251D3"/>
    <w:rsid w:val="002265EF"/>
    <w:rsid w:val="002274F7"/>
    <w:rsid w:val="00232AD2"/>
    <w:rsid w:val="00236A75"/>
    <w:rsid w:val="00240EE1"/>
    <w:rsid w:val="0024344F"/>
    <w:rsid w:val="00243C05"/>
    <w:rsid w:val="00246505"/>
    <w:rsid w:val="002501DF"/>
    <w:rsid w:val="00251D5D"/>
    <w:rsid w:val="00252695"/>
    <w:rsid w:val="00254177"/>
    <w:rsid w:val="0027053A"/>
    <w:rsid w:val="00275074"/>
    <w:rsid w:val="002750B6"/>
    <w:rsid w:val="00276C3A"/>
    <w:rsid w:val="00281A9C"/>
    <w:rsid w:val="002821E3"/>
    <w:rsid w:val="00295056"/>
    <w:rsid w:val="002956AB"/>
    <w:rsid w:val="002A22FA"/>
    <w:rsid w:val="002A5455"/>
    <w:rsid w:val="002A61F4"/>
    <w:rsid w:val="002B0F81"/>
    <w:rsid w:val="002B1F3F"/>
    <w:rsid w:val="002B475F"/>
    <w:rsid w:val="002B600D"/>
    <w:rsid w:val="002B61B1"/>
    <w:rsid w:val="002B7518"/>
    <w:rsid w:val="002C4719"/>
    <w:rsid w:val="002C77C9"/>
    <w:rsid w:val="002C7CE4"/>
    <w:rsid w:val="002D79FF"/>
    <w:rsid w:val="002E2C13"/>
    <w:rsid w:val="002E569B"/>
    <w:rsid w:val="002F038B"/>
    <w:rsid w:val="002F2822"/>
    <w:rsid w:val="002F46E0"/>
    <w:rsid w:val="003039FD"/>
    <w:rsid w:val="00312F78"/>
    <w:rsid w:val="0031493D"/>
    <w:rsid w:val="00324B8D"/>
    <w:rsid w:val="00331210"/>
    <w:rsid w:val="003428A4"/>
    <w:rsid w:val="00354F1D"/>
    <w:rsid w:val="00365186"/>
    <w:rsid w:val="0036738D"/>
    <w:rsid w:val="003745B9"/>
    <w:rsid w:val="003777D2"/>
    <w:rsid w:val="003779C0"/>
    <w:rsid w:val="003804F5"/>
    <w:rsid w:val="0038081C"/>
    <w:rsid w:val="00384848"/>
    <w:rsid w:val="00385F0B"/>
    <w:rsid w:val="0038659B"/>
    <w:rsid w:val="00390A39"/>
    <w:rsid w:val="00395437"/>
    <w:rsid w:val="003969A7"/>
    <w:rsid w:val="00396C55"/>
    <w:rsid w:val="003A0D50"/>
    <w:rsid w:val="003A7716"/>
    <w:rsid w:val="003B1EFC"/>
    <w:rsid w:val="003C2110"/>
    <w:rsid w:val="003C287D"/>
    <w:rsid w:val="003D2AEF"/>
    <w:rsid w:val="003D7111"/>
    <w:rsid w:val="003D7A7A"/>
    <w:rsid w:val="003E0B9A"/>
    <w:rsid w:val="003E19E6"/>
    <w:rsid w:val="003E3AE5"/>
    <w:rsid w:val="003E76AD"/>
    <w:rsid w:val="00402DC0"/>
    <w:rsid w:val="004048D2"/>
    <w:rsid w:val="004063AA"/>
    <w:rsid w:val="00406E68"/>
    <w:rsid w:val="00406F72"/>
    <w:rsid w:val="00412DD8"/>
    <w:rsid w:val="00413D7F"/>
    <w:rsid w:val="00414B82"/>
    <w:rsid w:val="00421AFE"/>
    <w:rsid w:val="004268FE"/>
    <w:rsid w:val="004271F5"/>
    <w:rsid w:val="00431220"/>
    <w:rsid w:val="00431556"/>
    <w:rsid w:val="00434625"/>
    <w:rsid w:val="00435891"/>
    <w:rsid w:val="00440C52"/>
    <w:rsid w:val="00446D56"/>
    <w:rsid w:val="0045106E"/>
    <w:rsid w:val="004566A6"/>
    <w:rsid w:val="00461A61"/>
    <w:rsid w:val="00465088"/>
    <w:rsid w:val="00465C83"/>
    <w:rsid w:val="004708EA"/>
    <w:rsid w:val="00472A65"/>
    <w:rsid w:val="00477D9C"/>
    <w:rsid w:val="00490A6E"/>
    <w:rsid w:val="004965B5"/>
    <w:rsid w:val="004A17FB"/>
    <w:rsid w:val="004A4C0C"/>
    <w:rsid w:val="004A67F0"/>
    <w:rsid w:val="004B105D"/>
    <w:rsid w:val="004B4666"/>
    <w:rsid w:val="004B6B01"/>
    <w:rsid w:val="004C24A5"/>
    <w:rsid w:val="004C3F71"/>
    <w:rsid w:val="004D01E5"/>
    <w:rsid w:val="004D1D72"/>
    <w:rsid w:val="004D23A4"/>
    <w:rsid w:val="004D41C7"/>
    <w:rsid w:val="004E01DB"/>
    <w:rsid w:val="004E2AEB"/>
    <w:rsid w:val="004F1ECF"/>
    <w:rsid w:val="005029BC"/>
    <w:rsid w:val="0051022F"/>
    <w:rsid w:val="00510255"/>
    <w:rsid w:val="00512D30"/>
    <w:rsid w:val="005146BB"/>
    <w:rsid w:val="00515322"/>
    <w:rsid w:val="00517938"/>
    <w:rsid w:val="0052150B"/>
    <w:rsid w:val="0053565C"/>
    <w:rsid w:val="005414D6"/>
    <w:rsid w:val="00542928"/>
    <w:rsid w:val="005454F9"/>
    <w:rsid w:val="00547932"/>
    <w:rsid w:val="0055176C"/>
    <w:rsid w:val="00552033"/>
    <w:rsid w:val="00555916"/>
    <w:rsid w:val="00557247"/>
    <w:rsid w:val="005603B9"/>
    <w:rsid w:val="0056297A"/>
    <w:rsid w:val="00563298"/>
    <w:rsid w:val="005735F5"/>
    <w:rsid w:val="005753B1"/>
    <w:rsid w:val="005836E8"/>
    <w:rsid w:val="0058564C"/>
    <w:rsid w:val="00590881"/>
    <w:rsid w:val="00590F54"/>
    <w:rsid w:val="00591BA1"/>
    <w:rsid w:val="005971F0"/>
    <w:rsid w:val="005A088A"/>
    <w:rsid w:val="005A14EB"/>
    <w:rsid w:val="005A2A68"/>
    <w:rsid w:val="005A3CFB"/>
    <w:rsid w:val="005A6B44"/>
    <w:rsid w:val="005A747E"/>
    <w:rsid w:val="005C0915"/>
    <w:rsid w:val="005C303F"/>
    <w:rsid w:val="005C7F70"/>
    <w:rsid w:val="005D03FC"/>
    <w:rsid w:val="005D0773"/>
    <w:rsid w:val="005D10CF"/>
    <w:rsid w:val="005D6420"/>
    <w:rsid w:val="005E50DC"/>
    <w:rsid w:val="005F04DE"/>
    <w:rsid w:val="005F21AA"/>
    <w:rsid w:val="005F474E"/>
    <w:rsid w:val="00606EEE"/>
    <w:rsid w:val="00610749"/>
    <w:rsid w:val="00613093"/>
    <w:rsid w:val="006179DA"/>
    <w:rsid w:val="00622CFF"/>
    <w:rsid w:val="00627FF5"/>
    <w:rsid w:val="00630208"/>
    <w:rsid w:val="00630C52"/>
    <w:rsid w:val="0063561B"/>
    <w:rsid w:val="00640235"/>
    <w:rsid w:val="00647BC9"/>
    <w:rsid w:val="00650105"/>
    <w:rsid w:val="00650B55"/>
    <w:rsid w:val="00650B98"/>
    <w:rsid w:val="00652508"/>
    <w:rsid w:val="006555B3"/>
    <w:rsid w:val="006574FA"/>
    <w:rsid w:val="00663679"/>
    <w:rsid w:val="006642A1"/>
    <w:rsid w:val="006658EC"/>
    <w:rsid w:val="0067087F"/>
    <w:rsid w:val="00673AC0"/>
    <w:rsid w:val="00674746"/>
    <w:rsid w:val="00674DCC"/>
    <w:rsid w:val="00681071"/>
    <w:rsid w:val="006819E8"/>
    <w:rsid w:val="0068284A"/>
    <w:rsid w:val="00683142"/>
    <w:rsid w:val="00694792"/>
    <w:rsid w:val="006961AD"/>
    <w:rsid w:val="00697973"/>
    <w:rsid w:val="006A272C"/>
    <w:rsid w:val="006C31ED"/>
    <w:rsid w:val="006C3C16"/>
    <w:rsid w:val="006D1AAD"/>
    <w:rsid w:val="006D2F57"/>
    <w:rsid w:val="006D4995"/>
    <w:rsid w:val="006D7615"/>
    <w:rsid w:val="006D7751"/>
    <w:rsid w:val="006F0412"/>
    <w:rsid w:val="006F532D"/>
    <w:rsid w:val="00700728"/>
    <w:rsid w:val="00703F66"/>
    <w:rsid w:val="0070727E"/>
    <w:rsid w:val="0070743C"/>
    <w:rsid w:val="00711EB9"/>
    <w:rsid w:val="00713464"/>
    <w:rsid w:val="00714F1B"/>
    <w:rsid w:val="007247F2"/>
    <w:rsid w:val="00724E46"/>
    <w:rsid w:val="00726AF3"/>
    <w:rsid w:val="00731108"/>
    <w:rsid w:val="007313D4"/>
    <w:rsid w:val="007364BC"/>
    <w:rsid w:val="00737345"/>
    <w:rsid w:val="00737CAE"/>
    <w:rsid w:val="00741BFC"/>
    <w:rsid w:val="00741C05"/>
    <w:rsid w:val="0074437C"/>
    <w:rsid w:val="00746BC9"/>
    <w:rsid w:val="007476CC"/>
    <w:rsid w:val="00747D88"/>
    <w:rsid w:val="00750B55"/>
    <w:rsid w:val="00753117"/>
    <w:rsid w:val="00756A00"/>
    <w:rsid w:val="00761AEC"/>
    <w:rsid w:val="00761E86"/>
    <w:rsid w:val="0076592B"/>
    <w:rsid w:val="007807DB"/>
    <w:rsid w:val="00780943"/>
    <w:rsid w:val="00786F7E"/>
    <w:rsid w:val="00787271"/>
    <w:rsid w:val="00792131"/>
    <w:rsid w:val="00793B7A"/>
    <w:rsid w:val="00797015"/>
    <w:rsid w:val="007A3409"/>
    <w:rsid w:val="007B470A"/>
    <w:rsid w:val="007B5BD9"/>
    <w:rsid w:val="007B75AA"/>
    <w:rsid w:val="007C1432"/>
    <w:rsid w:val="007C408A"/>
    <w:rsid w:val="007C5E64"/>
    <w:rsid w:val="007D2416"/>
    <w:rsid w:val="007D3028"/>
    <w:rsid w:val="007D5680"/>
    <w:rsid w:val="007D5A0A"/>
    <w:rsid w:val="007D7FDB"/>
    <w:rsid w:val="007F50A5"/>
    <w:rsid w:val="007F5783"/>
    <w:rsid w:val="008032BD"/>
    <w:rsid w:val="00803EB7"/>
    <w:rsid w:val="00811D62"/>
    <w:rsid w:val="00813443"/>
    <w:rsid w:val="00813C90"/>
    <w:rsid w:val="00814BFC"/>
    <w:rsid w:val="00814D3C"/>
    <w:rsid w:val="00817901"/>
    <w:rsid w:val="0082398C"/>
    <w:rsid w:val="0082683B"/>
    <w:rsid w:val="00832536"/>
    <w:rsid w:val="00835364"/>
    <w:rsid w:val="008353AE"/>
    <w:rsid w:val="00836B9D"/>
    <w:rsid w:val="00837015"/>
    <w:rsid w:val="00843756"/>
    <w:rsid w:val="00844F24"/>
    <w:rsid w:val="0084608B"/>
    <w:rsid w:val="00854DE4"/>
    <w:rsid w:val="00855C1B"/>
    <w:rsid w:val="00856C08"/>
    <w:rsid w:val="00862981"/>
    <w:rsid w:val="00866336"/>
    <w:rsid w:val="0086664F"/>
    <w:rsid w:val="00871766"/>
    <w:rsid w:val="008772FE"/>
    <w:rsid w:val="00877B5D"/>
    <w:rsid w:val="0088284A"/>
    <w:rsid w:val="0088296E"/>
    <w:rsid w:val="00885056"/>
    <w:rsid w:val="008854AD"/>
    <w:rsid w:val="00885CD7"/>
    <w:rsid w:val="008945B6"/>
    <w:rsid w:val="00894BE8"/>
    <w:rsid w:val="00894D8A"/>
    <w:rsid w:val="00895D93"/>
    <w:rsid w:val="008976F8"/>
    <w:rsid w:val="008A0366"/>
    <w:rsid w:val="008A0CAA"/>
    <w:rsid w:val="008A4AD2"/>
    <w:rsid w:val="008C236C"/>
    <w:rsid w:val="008D1EF7"/>
    <w:rsid w:val="008D2654"/>
    <w:rsid w:val="008D3B76"/>
    <w:rsid w:val="008D551D"/>
    <w:rsid w:val="008E1E8D"/>
    <w:rsid w:val="008E33A7"/>
    <w:rsid w:val="008E4450"/>
    <w:rsid w:val="008E7F19"/>
    <w:rsid w:val="008F313D"/>
    <w:rsid w:val="008F6CA9"/>
    <w:rsid w:val="00917A15"/>
    <w:rsid w:val="00920C6E"/>
    <w:rsid w:val="0092575F"/>
    <w:rsid w:val="0092612D"/>
    <w:rsid w:val="00931D9C"/>
    <w:rsid w:val="0093263C"/>
    <w:rsid w:val="00932FD5"/>
    <w:rsid w:val="00935ACE"/>
    <w:rsid w:val="00937AD5"/>
    <w:rsid w:val="0094577C"/>
    <w:rsid w:val="009475C9"/>
    <w:rsid w:val="00965A76"/>
    <w:rsid w:val="00972771"/>
    <w:rsid w:val="00974496"/>
    <w:rsid w:val="00974F99"/>
    <w:rsid w:val="0097771A"/>
    <w:rsid w:val="0098304E"/>
    <w:rsid w:val="009857FE"/>
    <w:rsid w:val="00986A95"/>
    <w:rsid w:val="00996E23"/>
    <w:rsid w:val="00997E44"/>
    <w:rsid w:val="009A442D"/>
    <w:rsid w:val="009A7BDD"/>
    <w:rsid w:val="009B6252"/>
    <w:rsid w:val="009B66C7"/>
    <w:rsid w:val="009C39E8"/>
    <w:rsid w:val="009C42AC"/>
    <w:rsid w:val="009C4A44"/>
    <w:rsid w:val="009C50CB"/>
    <w:rsid w:val="009C6749"/>
    <w:rsid w:val="009C711F"/>
    <w:rsid w:val="009D27CA"/>
    <w:rsid w:val="009D3DCE"/>
    <w:rsid w:val="009D4379"/>
    <w:rsid w:val="009D4F1E"/>
    <w:rsid w:val="009D5D61"/>
    <w:rsid w:val="009E21B6"/>
    <w:rsid w:val="009E25C6"/>
    <w:rsid w:val="009E334E"/>
    <w:rsid w:val="009E4E2D"/>
    <w:rsid w:val="009E65C1"/>
    <w:rsid w:val="009F5CA6"/>
    <w:rsid w:val="00A0660A"/>
    <w:rsid w:val="00A071CE"/>
    <w:rsid w:val="00A135D3"/>
    <w:rsid w:val="00A20EA6"/>
    <w:rsid w:val="00A263BC"/>
    <w:rsid w:val="00A27861"/>
    <w:rsid w:val="00A332FC"/>
    <w:rsid w:val="00A40612"/>
    <w:rsid w:val="00A41D4F"/>
    <w:rsid w:val="00A476FD"/>
    <w:rsid w:val="00A53E3F"/>
    <w:rsid w:val="00A56B35"/>
    <w:rsid w:val="00A632AC"/>
    <w:rsid w:val="00A63515"/>
    <w:rsid w:val="00A700E7"/>
    <w:rsid w:val="00A73E24"/>
    <w:rsid w:val="00A85FD6"/>
    <w:rsid w:val="00A923B2"/>
    <w:rsid w:val="00A956E9"/>
    <w:rsid w:val="00A95876"/>
    <w:rsid w:val="00A95B0B"/>
    <w:rsid w:val="00A97AF5"/>
    <w:rsid w:val="00AA0394"/>
    <w:rsid w:val="00AA2446"/>
    <w:rsid w:val="00AA35D7"/>
    <w:rsid w:val="00AA534F"/>
    <w:rsid w:val="00AA645D"/>
    <w:rsid w:val="00AB1F9C"/>
    <w:rsid w:val="00AB7F4B"/>
    <w:rsid w:val="00AC36C0"/>
    <w:rsid w:val="00AC68EF"/>
    <w:rsid w:val="00AD043B"/>
    <w:rsid w:val="00AD1D59"/>
    <w:rsid w:val="00AD2B09"/>
    <w:rsid w:val="00AD5E82"/>
    <w:rsid w:val="00AE0758"/>
    <w:rsid w:val="00AE07C3"/>
    <w:rsid w:val="00AE08CB"/>
    <w:rsid w:val="00AE1595"/>
    <w:rsid w:val="00AE184E"/>
    <w:rsid w:val="00AE69B5"/>
    <w:rsid w:val="00AF302F"/>
    <w:rsid w:val="00AF529F"/>
    <w:rsid w:val="00AF6BFA"/>
    <w:rsid w:val="00B07B0C"/>
    <w:rsid w:val="00B12483"/>
    <w:rsid w:val="00B30EC5"/>
    <w:rsid w:val="00B3398D"/>
    <w:rsid w:val="00B33B7E"/>
    <w:rsid w:val="00B42622"/>
    <w:rsid w:val="00B53931"/>
    <w:rsid w:val="00B56E07"/>
    <w:rsid w:val="00B56F32"/>
    <w:rsid w:val="00B57A5C"/>
    <w:rsid w:val="00B62EED"/>
    <w:rsid w:val="00B63276"/>
    <w:rsid w:val="00B63352"/>
    <w:rsid w:val="00B6794E"/>
    <w:rsid w:val="00B67BAA"/>
    <w:rsid w:val="00B70D02"/>
    <w:rsid w:val="00B70F3A"/>
    <w:rsid w:val="00B72BA0"/>
    <w:rsid w:val="00B74CD6"/>
    <w:rsid w:val="00B74D35"/>
    <w:rsid w:val="00B80AD9"/>
    <w:rsid w:val="00B81617"/>
    <w:rsid w:val="00B904CE"/>
    <w:rsid w:val="00B91056"/>
    <w:rsid w:val="00B920A3"/>
    <w:rsid w:val="00B92A87"/>
    <w:rsid w:val="00BA1A4F"/>
    <w:rsid w:val="00BA2791"/>
    <w:rsid w:val="00BA3DAE"/>
    <w:rsid w:val="00BB0FEB"/>
    <w:rsid w:val="00BB1831"/>
    <w:rsid w:val="00BB2593"/>
    <w:rsid w:val="00BB6F18"/>
    <w:rsid w:val="00BC0ED9"/>
    <w:rsid w:val="00BC6D6C"/>
    <w:rsid w:val="00BD22F6"/>
    <w:rsid w:val="00BD3996"/>
    <w:rsid w:val="00BD3E2B"/>
    <w:rsid w:val="00BD6C6E"/>
    <w:rsid w:val="00BD6D11"/>
    <w:rsid w:val="00BE0B2F"/>
    <w:rsid w:val="00BE1299"/>
    <w:rsid w:val="00BE6539"/>
    <w:rsid w:val="00BF03C6"/>
    <w:rsid w:val="00BF1879"/>
    <w:rsid w:val="00BF425D"/>
    <w:rsid w:val="00BF571D"/>
    <w:rsid w:val="00BF6741"/>
    <w:rsid w:val="00C02ABE"/>
    <w:rsid w:val="00C108C3"/>
    <w:rsid w:val="00C164EF"/>
    <w:rsid w:val="00C17967"/>
    <w:rsid w:val="00C225B8"/>
    <w:rsid w:val="00C249FB"/>
    <w:rsid w:val="00C31670"/>
    <w:rsid w:val="00C32749"/>
    <w:rsid w:val="00C336BD"/>
    <w:rsid w:val="00C35507"/>
    <w:rsid w:val="00C361F7"/>
    <w:rsid w:val="00C428F8"/>
    <w:rsid w:val="00C4727B"/>
    <w:rsid w:val="00C52198"/>
    <w:rsid w:val="00C548DB"/>
    <w:rsid w:val="00C56B00"/>
    <w:rsid w:val="00C56C68"/>
    <w:rsid w:val="00C56E9B"/>
    <w:rsid w:val="00C61F87"/>
    <w:rsid w:val="00C64DF0"/>
    <w:rsid w:val="00C66A9C"/>
    <w:rsid w:val="00C66FBF"/>
    <w:rsid w:val="00C771D1"/>
    <w:rsid w:val="00C80E76"/>
    <w:rsid w:val="00C829D8"/>
    <w:rsid w:val="00C85AC3"/>
    <w:rsid w:val="00C8718C"/>
    <w:rsid w:val="00C92B1E"/>
    <w:rsid w:val="00CA1DFD"/>
    <w:rsid w:val="00CA623E"/>
    <w:rsid w:val="00CA6E39"/>
    <w:rsid w:val="00CA7131"/>
    <w:rsid w:val="00CB115F"/>
    <w:rsid w:val="00CB464D"/>
    <w:rsid w:val="00CB5F97"/>
    <w:rsid w:val="00CC0080"/>
    <w:rsid w:val="00CC2AD7"/>
    <w:rsid w:val="00CC363F"/>
    <w:rsid w:val="00CC67FB"/>
    <w:rsid w:val="00CD0B22"/>
    <w:rsid w:val="00CD23B3"/>
    <w:rsid w:val="00CD2DDA"/>
    <w:rsid w:val="00CD2FDF"/>
    <w:rsid w:val="00CD34E3"/>
    <w:rsid w:val="00CD374E"/>
    <w:rsid w:val="00CD3768"/>
    <w:rsid w:val="00CD6BA9"/>
    <w:rsid w:val="00CE2BB9"/>
    <w:rsid w:val="00CE5BD3"/>
    <w:rsid w:val="00CE65C8"/>
    <w:rsid w:val="00CE71CE"/>
    <w:rsid w:val="00CF657A"/>
    <w:rsid w:val="00CF6C49"/>
    <w:rsid w:val="00D00556"/>
    <w:rsid w:val="00D067A1"/>
    <w:rsid w:val="00D06C06"/>
    <w:rsid w:val="00D13AF4"/>
    <w:rsid w:val="00D151AA"/>
    <w:rsid w:val="00D15993"/>
    <w:rsid w:val="00D21D9B"/>
    <w:rsid w:val="00D25F7D"/>
    <w:rsid w:val="00D2769C"/>
    <w:rsid w:val="00D3016F"/>
    <w:rsid w:val="00D31294"/>
    <w:rsid w:val="00D31839"/>
    <w:rsid w:val="00D318B7"/>
    <w:rsid w:val="00D42587"/>
    <w:rsid w:val="00D45363"/>
    <w:rsid w:val="00D46528"/>
    <w:rsid w:val="00D472C1"/>
    <w:rsid w:val="00D5557B"/>
    <w:rsid w:val="00D6026F"/>
    <w:rsid w:val="00D61126"/>
    <w:rsid w:val="00D61424"/>
    <w:rsid w:val="00D64084"/>
    <w:rsid w:val="00D66536"/>
    <w:rsid w:val="00D72B9E"/>
    <w:rsid w:val="00D74D62"/>
    <w:rsid w:val="00D76BA6"/>
    <w:rsid w:val="00D836D8"/>
    <w:rsid w:val="00D84E67"/>
    <w:rsid w:val="00D90F5E"/>
    <w:rsid w:val="00D92E30"/>
    <w:rsid w:val="00D92E90"/>
    <w:rsid w:val="00D946C3"/>
    <w:rsid w:val="00DA18A0"/>
    <w:rsid w:val="00DA2FD7"/>
    <w:rsid w:val="00DA3A2C"/>
    <w:rsid w:val="00DA4900"/>
    <w:rsid w:val="00DA4A5F"/>
    <w:rsid w:val="00DA527A"/>
    <w:rsid w:val="00DB08EF"/>
    <w:rsid w:val="00DB2AE7"/>
    <w:rsid w:val="00DB2D1A"/>
    <w:rsid w:val="00DB412B"/>
    <w:rsid w:val="00DB6A21"/>
    <w:rsid w:val="00DC3370"/>
    <w:rsid w:val="00DC4D82"/>
    <w:rsid w:val="00DC5268"/>
    <w:rsid w:val="00DD17D8"/>
    <w:rsid w:val="00DD1C9F"/>
    <w:rsid w:val="00DD5C57"/>
    <w:rsid w:val="00DE2828"/>
    <w:rsid w:val="00DF4CE5"/>
    <w:rsid w:val="00DF526B"/>
    <w:rsid w:val="00DF7FA5"/>
    <w:rsid w:val="00E00D88"/>
    <w:rsid w:val="00E019ED"/>
    <w:rsid w:val="00E03FAE"/>
    <w:rsid w:val="00E054F5"/>
    <w:rsid w:val="00E100D4"/>
    <w:rsid w:val="00E11890"/>
    <w:rsid w:val="00E13F44"/>
    <w:rsid w:val="00E26916"/>
    <w:rsid w:val="00E37FC8"/>
    <w:rsid w:val="00E40428"/>
    <w:rsid w:val="00E54A88"/>
    <w:rsid w:val="00E57192"/>
    <w:rsid w:val="00E61651"/>
    <w:rsid w:val="00E62FC4"/>
    <w:rsid w:val="00E75125"/>
    <w:rsid w:val="00E840BF"/>
    <w:rsid w:val="00E90D9A"/>
    <w:rsid w:val="00E92559"/>
    <w:rsid w:val="00E937DD"/>
    <w:rsid w:val="00EA5BB3"/>
    <w:rsid w:val="00EA63D5"/>
    <w:rsid w:val="00EA6EE2"/>
    <w:rsid w:val="00EA700E"/>
    <w:rsid w:val="00EA7666"/>
    <w:rsid w:val="00EB27A5"/>
    <w:rsid w:val="00EB3956"/>
    <w:rsid w:val="00EB40F0"/>
    <w:rsid w:val="00EB447F"/>
    <w:rsid w:val="00EB4594"/>
    <w:rsid w:val="00EB6526"/>
    <w:rsid w:val="00EC643F"/>
    <w:rsid w:val="00ED131A"/>
    <w:rsid w:val="00ED3C32"/>
    <w:rsid w:val="00EE1673"/>
    <w:rsid w:val="00EE2A5A"/>
    <w:rsid w:val="00EE2C06"/>
    <w:rsid w:val="00EE3726"/>
    <w:rsid w:val="00EF592C"/>
    <w:rsid w:val="00EF6067"/>
    <w:rsid w:val="00F036C4"/>
    <w:rsid w:val="00F04F64"/>
    <w:rsid w:val="00F05B7F"/>
    <w:rsid w:val="00F07EEB"/>
    <w:rsid w:val="00F117B4"/>
    <w:rsid w:val="00F16FFA"/>
    <w:rsid w:val="00F24CE9"/>
    <w:rsid w:val="00F270F2"/>
    <w:rsid w:val="00F27569"/>
    <w:rsid w:val="00F31535"/>
    <w:rsid w:val="00F32C1D"/>
    <w:rsid w:val="00F343D6"/>
    <w:rsid w:val="00F45DD6"/>
    <w:rsid w:val="00F47F86"/>
    <w:rsid w:val="00F54B90"/>
    <w:rsid w:val="00F72A01"/>
    <w:rsid w:val="00F739ED"/>
    <w:rsid w:val="00F74FBC"/>
    <w:rsid w:val="00F85B09"/>
    <w:rsid w:val="00F877A3"/>
    <w:rsid w:val="00F929F4"/>
    <w:rsid w:val="00F9536F"/>
    <w:rsid w:val="00FA1FB8"/>
    <w:rsid w:val="00FA35A4"/>
    <w:rsid w:val="00FA7432"/>
    <w:rsid w:val="00FB2F9A"/>
    <w:rsid w:val="00FB4731"/>
    <w:rsid w:val="00FB4BE2"/>
    <w:rsid w:val="00FB7B3B"/>
    <w:rsid w:val="00FD2D07"/>
    <w:rsid w:val="00FE6843"/>
    <w:rsid w:val="00FF036C"/>
    <w:rsid w:val="00FF0829"/>
    <w:rsid w:val="00FF13AD"/>
    <w:rsid w:val="00FF4F99"/>
    <w:rsid w:val="00FF6D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918D"/>
  <w15:chartTrackingRefBased/>
  <w15:docId w15:val="{9D6093D9-76E5-4170-92BF-7180B1F1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B2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AE7"/>
    <w:rPr>
      <w:rFonts w:eastAsiaTheme="majorEastAsia" w:cstheme="majorBidi"/>
      <w:color w:val="272727" w:themeColor="text1" w:themeTint="D8"/>
    </w:rPr>
  </w:style>
  <w:style w:type="paragraph" w:styleId="Title">
    <w:name w:val="Title"/>
    <w:basedOn w:val="Normal"/>
    <w:next w:val="Normal"/>
    <w:link w:val="TitleChar"/>
    <w:uiPriority w:val="10"/>
    <w:qFormat/>
    <w:rsid w:val="00DB2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AE7"/>
    <w:pPr>
      <w:spacing w:before="160"/>
      <w:jc w:val="center"/>
    </w:pPr>
    <w:rPr>
      <w:i/>
      <w:iCs/>
      <w:color w:val="404040" w:themeColor="text1" w:themeTint="BF"/>
    </w:rPr>
  </w:style>
  <w:style w:type="character" w:customStyle="1" w:styleId="QuoteChar">
    <w:name w:val="Quote Char"/>
    <w:basedOn w:val="DefaultParagraphFont"/>
    <w:link w:val="Quote"/>
    <w:uiPriority w:val="29"/>
    <w:rsid w:val="00DB2AE7"/>
    <w:rPr>
      <w:i/>
      <w:iCs/>
      <w:color w:val="404040" w:themeColor="text1" w:themeTint="BF"/>
    </w:rPr>
  </w:style>
  <w:style w:type="paragraph" w:styleId="ListParagraph">
    <w:name w:val="List Paragraph"/>
    <w:basedOn w:val="Normal"/>
    <w:uiPriority w:val="34"/>
    <w:qFormat/>
    <w:rsid w:val="00DB2AE7"/>
    <w:pPr>
      <w:ind w:left="720"/>
      <w:contextualSpacing/>
    </w:pPr>
  </w:style>
  <w:style w:type="character" w:styleId="IntenseEmphasis">
    <w:name w:val="Intense Emphasis"/>
    <w:basedOn w:val="DefaultParagraphFont"/>
    <w:uiPriority w:val="21"/>
    <w:qFormat/>
    <w:rsid w:val="00DB2AE7"/>
    <w:rPr>
      <w:i/>
      <w:iCs/>
      <w:color w:val="0F4761" w:themeColor="accent1" w:themeShade="BF"/>
    </w:rPr>
  </w:style>
  <w:style w:type="paragraph" w:styleId="IntenseQuote">
    <w:name w:val="Intense Quote"/>
    <w:basedOn w:val="Normal"/>
    <w:next w:val="Normal"/>
    <w:link w:val="IntenseQuoteChar"/>
    <w:uiPriority w:val="30"/>
    <w:qFormat/>
    <w:rsid w:val="00DB2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AE7"/>
    <w:rPr>
      <w:i/>
      <w:iCs/>
      <w:color w:val="0F4761" w:themeColor="accent1" w:themeShade="BF"/>
    </w:rPr>
  </w:style>
  <w:style w:type="character" w:styleId="IntenseReference">
    <w:name w:val="Intense Reference"/>
    <w:basedOn w:val="DefaultParagraphFont"/>
    <w:uiPriority w:val="32"/>
    <w:qFormat/>
    <w:rsid w:val="00DB2AE7"/>
    <w:rPr>
      <w:b/>
      <w:bCs/>
      <w:smallCaps/>
      <w:color w:val="0F4761" w:themeColor="accent1" w:themeShade="BF"/>
      <w:spacing w:val="5"/>
    </w:rPr>
  </w:style>
  <w:style w:type="paragraph" w:styleId="FootnoteText">
    <w:name w:val="footnote text"/>
    <w:basedOn w:val="Normal"/>
    <w:link w:val="FootnoteTextChar"/>
    <w:uiPriority w:val="99"/>
    <w:semiHidden/>
    <w:unhideWhenUsed/>
    <w:rsid w:val="00DB2A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AE7"/>
    <w:rPr>
      <w:sz w:val="20"/>
      <w:szCs w:val="20"/>
    </w:rPr>
  </w:style>
  <w:style w:type="paragraph" w:styleId="Footer">
    <w:name w:val="footer"/>
    <w:basedOn w:val="Normal"/>
    <w:link w:val="FooterChar"/>
    <w:uiPriority w:val="99"/>
    <w:unhideWhenUsed/>
    <w:rsid w:val="00DB2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AE7"/>
  </w:style>
  <w:style w:type="character" w:styleId="FootnoteReference">
    <w:name w:val="footnote reference"/>
    <w:aliases w:val="4_G,Ref. de nota al pie 2,Footnotes refss,Texto de nota al pie,Appel note de bas de page,Footnote number,referencia nota al pie,BVI fnr,f,16 Point,Superscript 6 Point,Texto nota al pie,julio,Footnote Reference Char3,ftref,Ref,ftre,R"/>
    <w:uiPriority w:val="99"/>
    <w:unhideWhenUsed/>
    <w:qFormat/>
    <w:rsid w:val="00DB2AE7"/>
    <w:rPr>
      <w:vertAlign w:val="superscript"/>
    </w:rPr>
  </w:style>
  <w:style w:type="character" w:styleId="Hyperlink">
    <w:name w:val="Hyperlink"/>
    <w:basedOn w:val="DefaultParagraphFont"/>
    <w:uiPriority w:val="99"/>
    <w:unhideWhenUsed/>
    <w:rsid w:val="00DB2AE7"/>
    <w:rPr>
      <w:color w:val="467886" w:themeColor="hyperlink"/>
      <w:u w:val="single"/>
    </w:rPr>
  </w:style>
  <w:style w:type="character" w:styleId="UnresolvedMention">
    <w:name w:val="Unresolved Mention"/>
    <w:basedOn w:val="DefaultParagraphFont"/>
    <w:uiPriority w:val="99"/>
    <w:semiHidden/>
    <w:unhideWhenUsed/>
    <w:rsid w:val="00DB2AE7"/>
    <w:rPr>
      <w:color w:val="605E5C"/>
      <w:shd w:val="clear" w:color="auto" w:fill="E1DFDD"/>
    </w:rPr>
  </w:style>
  <w:style w:type="paragraph" w:styleId="Header">
    <w:name w:val="header"/>
    <w:basedOn w:val="Normal"/>
    <w:link w:val="HeaderChar"/>
    <w:uiPriority w:val="99"/>
    <w:unhideWhenUsed/>
    <w:rsid w:val="00647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BC9"/>
  </w:style>
  <w:style w:type="character" w:styleId="CommentReference">
    <w:name w:val="annotation reference"/>
    <w:basedOn w:val="DefaultParagraphFont"/>
    <w:uiPriority w:val="99"/>
    <w:semiHidden/>
    <w:unhideWhenUsed/>
    <w:rsid w:val="00D45363"/>
    <w:rPr>
      <w:sz w:val="16"/>
      <w:szCs w:val="16"/>
    </w:rPr>
  </w:style>
  <w:style w:type="paragraph" w:styleId="CommentText">
    <w:name w:val="annotation text"/>
    <w:basedOn w:val="Normal"/>
    <w:link w:val="CommentTextChar"/>
    <w:uiPriority w:val="99"/>
    <w:unhideWhenUsed/>
    <w:rsid w:val="00D45363"/>
    <w:pPr>
      <w:spacing w:line="240" w:lineRule="auto"/>
    </w:pPr>
    <w:rPr>
      <w:sz w:val="20"/>
      <w:szCs w:val="20"/>
    </w:rPr>
  </w:style>
  <w:style w:type="character" w:customStyle="1" w:styleId="CommentTextChar">
    <w:name w:val="Comment Text Char"/>
    <w:basedOn w:val="DefaultParagraphFont"/>
    <w:link w:val="CommentText"/>
    <w:uiPriority w:val="99"/>
    <w:rsid w:val="00D45363"/>
    <w:rPr>
      <w:sz w:val="20"/>
      <w:szCs w:val="20"/>
    </w:rPr>
  </w:style>
  <w:style w:type="paragraph" w:styleId="CommentSubject">
    <w:name w:val="annotation subject"/>
    <w:basedOn w:val="CommentText"/>
    <w:next w:val="CommentText"/>
    <w:link w:val="CommentSubjectChar"/>
    <w:uiPriority w:val="99"/>
    <w:semiHidden/>
    <w:unhideWhenUsed/>
    <w:rsid w:val="00D45363"/>
    <w:rPr>
      <w:b/>
      <w:bCs/>
    </w:rPr>
  </w:style>
  <w:style w:type="character" w:customStyle="1" w:styleId="CommentSubjectChar">
    <w:name w:val="Comment Subject Char"/>
    <w:basedOn w:val="CommentTextChar"/>
    <w:link w:val="CommentSubject"/>
    <w:uiPriority w:val="99"/>
    <w:semiHidden/>
    <w:rsid w:val="00D45363"/>
    <w:rPr>
      <w:b/>
      <w:bCs/>
      <w:sz w:val="20"/>
      <w:szCs w:val="20"/>
    </w:rPr>
  </w:style>
  <w:style w:type="character" w:styleId="FollowedHyperlink">
    <w:name w:val="FollowedHyperlink"/>
    <w:basedOn w:val="DefaultParagraphFont"/>
    <w:uiPriority w:val="99"/>
    <w:semiHidden/>
    <w:unhideWhenUsed/>
    <w:rsid w:val="003A7716"/>
    <w:rPr>
      <w:color w:val="96607D" w:themeColor="followedHyperlink"/>
      <w:u w:val="single"/>
    </w:rPr>
  </w:style>
  <w:style w:type="paragraph" w:styleId="Revision">
    <w:name w:val="Revision"/>
    <w:hidden/>
    <w:uiPriority w:val="99"/>
    <w:semiHidden/>
    <w:rsid w:val="00761AEC"/>
    <w:pPr>
      <w:spacing w:after="0" w:line="240" w:lineRule="auto"/>
    </w:pPr>
  </w:style>
  <w:style w:type="paragraph" w:styleId="NormalWeb">
    <w:name w:val="Normal (Web)"/>
    <w:basedOn w:val="Normal"/>
    <w:uiPriority w:val="99"/>
    <w:semiHidden/>
    <w:unhideWhenUsed/>
    <w:rsid w:val="000365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3312">
      <w:bodyDiv w:val="1"/>
      <w:marLeft w:val="0"/>
      <w:marRight w:val="0"/>
      <w:marTop w:val="0"/>
      <w:marBottom w:val="0"/>
      <w:divBdr>
        <w:top w:val="none" w:sz="0" w:space="0" w:color="auto"/>
        <w:left w:val="none" w:sz="0" w:space="0" w:color="auto"/>
        <w:bottom w:val="none" w:sz="0" w:space="0" w:color="auto"/>
        <w:right w:val="none" w:sz="0" w:space="0" w:color="auto"/>
      </w:divBdr>
    </w:div>
    <w:div w:id="453210527">
      <w:bodyDiv w:val="1"/>
      <w:marLeft w:val="0"/>
      <w:marRight w:val="0"/>
      <w:marTop w:val="0"/>
      <w:marBottom w:val="0"/>
      <w:divBdr>
        <w:top w:val="none" w:sz="0" w:space="0" w:color="auto"/>
        <w:left w:val="none" w:sz="0" w:space="0" w:color="auto"/>
        <w:bottom w:val="none" w:sz="0" w:space="0" w:color="auto"/>
        <w:right w:val="none" w:sz="0" w:space="0" w:color="auto"/>
      </w:divBdr>
    </w:div>
    <w:div w:id="509492252">
      <w:bodyDiv w:val="1"/>
      <w:marLeft w:val="0"/>
      <w:marRight w:val="0"/>
      <w:marTop w:val="0"/>
      <w:marBottom w:val="0"/>
      <w:divBdr>
        <w:top w:val="none" w:sz="0" w:space="0" w:color="auto"/>
        <w:left w:val="none" w:sz="0" w:space="0" w:color="auto"/>
        <w:bottom w:val="none" w:sz="0" w:space="0" w:color="auto"/>
        <w:right w:val="none" w:sz="0" w:space="0" w:color="auto"/>
      </w:divBdr>
    </w:div>
    <w:div w:id="1060982585">
      <w:bodyDiv w:val="1"/>
      <w:marLeft w:val="0"/>
      <w:marRight w:val="0"/>
      <w:marTop w:val="0"/>
      <w:marBottom w:val="0"/>
      <w:divBdr>
        <w:top w:val="none" w:sz="0" w:space="0" w:color="auto"/>
        <w:left w:val="none" w:sz="0" w:space="0" w:color="auto"/>
        <w:bottom w:val="none" w:sz="0" w:space="0" w:color="auto"/>
        <w:right w:val="none" w:sz="0" w:space="0" w:color="auto"/>
      </w:divBdr>
    </w:div>
    <w:div w:id="1635402351">
      <w:bodyDiv w:val="1"/>
      <w:marLeft w:val="0"/>
      <w:marRight w:val="0"/>
      <w:marTop w:val="0"/>
      <w:marBottom w:val="0"/>
      <w:divBdr>
        <w:top w:val="none" w:sz="0" w:space="0" w:color="auto"/>
        <w:left w:val="none" w:sz="0" w:space="0" w:color="auto"/>
        <w:bottom w:val="none" w:sz="0" w:space="0" w:color="auto"/>
        <w:right w:val="none" w:sz="0" w:space="0" w:color="auto"/>
      </w:divBdr>
    </w:div>
    <w:div w:id="206189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cmeetings.ohchr.org/HRCSessions/RegularSessions/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un.org/A/HRC/RES/55/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un.org/A/HRC/RES/55/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tv.un.org" TargetMode="External"/><Relationship Id="rId5" Type="http://schemas.openxmlformats.org/officeDocument/2006/relationships/numbering" Target="numbering.xml"/><Relationship Id="rId15" Type="http://schemas.openxmlformats.org/officeDocument/2006/relationships/hyperlink" Target="https://www.ohchr.org/en/hr-bodies/hrc/accessibili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eamtext.net/player?event=CFI-UN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00E08-3249-45F3-8027-0C57163560DB}"/>
</file>

<file path=customXml/itemProps2.xml><?xml version="1.0" encoding="utf-8"?>
<ds:datastoreItem xmlns:ds="http://schemas.openxmlformats.org/officeDocument/2006/customXml" ds:itemID="{AAA5D74A-BC67-44F5-BA73-5D75EBC68034}">
  <ds:schemaRefs>
    <ds:schemaRef ds:uri="http://schemas.microsoft.com/sharepoint/v3/contenttype/forms"/>
  </ds:schemaRefs>
</ds:datastoreItem>
</file>

<file path=customXml/itemProps3.xml><?xml version="1.0" encoding="utf-8"?>
<ds:datastoreItem xmlns:ds="http://schemas.openxmlformats.org/officeDocument/2006/customXml" ds:itemID="{B69FC795-8934-4958-99BF-0A4F25533339}">
  <ds:schemaRefs>
    <ds:schemaRef ds:uri="http://schemas.microsoft.com/office/2006/metadata/properties"/>
    <ds:schemaRef ds:uri="http://schemas.microsoft.com/office/infopath/2007/PartnerControls"/>
    <ds:schemaRef ds:uri="84722e3b-25e0-496d-a9f5-d37e31027713"/>
    <ds:schemaRef ds:uri="bb0ca9ba-941c-40df-b04b-bfabd62ea666"/>
  </ds:schemaRefs>
</ds:datastoreItem>
</file>

<file path=customXml/itemProps4.xml><?xml version="1.0" encoding="utf-8"?>
<ds:datastoreItem xmlns:ds="http://schemas.openxmlformats.org/officeDocument/2006/customXml" ds:itemID="{74F8FD16-D1A0-4CBB-BB8E-88D330D25360}">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Kalekye Kyalo</dc:creator>
  <cp:keywords/>
  <dc:description/>
  <cp:lastModifiedBy>Petra Ticha</cp:lastModifiedBy>
  <cp:revision>8</cp:revision>
  <dcterms:created xsi:type="dcterms:W3CDTF">2026-02-19T14:54:00Z</dcterms:created>
  <dcterms:modified xsi:type="dcterms:W3CDTF">2026-02-19T15:42:00Z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0x0101005AEAB9300D60AF489460A39DF253F821</vt:lpwstr>
  </property>
  <property fmtid="{D5CDD505-2E9C-101B-9397-08002B2CF9AE}" pid="3" name="MediaServiceImageTags">
    <vt:lpwstr/>
  </property>
  <property fmtid="{D5CDD505-2E9C-101B-9397-08002B2CF9AE}" pid="4" name="GrammarlyDocumentId">
    <vt:lpwstr>3aec53b7-858f-4151-a55a-8f2b57ea3d20</vt:lpwstr>
  </property>
</Properties>
</file>